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CCFF" w14:textId="29931B7E" w:rsidR="008F32FA" w:rsidRDefault="003C076B" w:rsidP="0001708E">
      <w:pPr>
        <w:pStyle w:val="Factsheetheader1"/>
      </w:pPr>
      <w:r>
        <w:t>Promotional Activities - Fees 202</w:t>
      </w:r>
      <w:r w:rsidR="00FE05CD">
        <w:t>6-2027</w:t>
      </w:r>
    </w:p>
    <w:p w14:paraId="11A321FD" w14:textId="77777777" w:rsidR="00400058" w:rsidRDefault="00400058" w:rsidP="00312245">
      <w:pPr>
        <w:pStyle w:val="Heading2"/>
      </w:pPr>
      <w:r>
        <w:t>Before Applying</w:t>
      </w:r>
    </w:p>
    <w:p w14:paraId="32D1186C" w14:textId="0A0169B4" w:rsidR="00583AC7" w:rsidRPr="002A2A75" w:rsidRDefault="00583AC7" w:rsidP="0001708E">
      <w:pPr>
        <w:pStyle w:val="ListParagraph"/>
        <w:numPr>
          <w:ilvl w:val="0"/>
          <w:numId w:val="3"/>
        </w:numPr>
      </w:pPr>
      <w:r w:rsidRPr="002A2A75">
        <w:t xml:space="preserve">Please read the ‘Promotional Activities Guidelines’ before completing </w:t>
      </w:r>
      <w:r w:rsidR="00312245">
        <w:t>your</w:t>
      </w:r>
      <w:r w:rsidRPr="002A2A75">
        <w:t xml:space="preserve"> application.</w:t>
      </w:r>
    </w:p>
    <w:p w14:paraId="4E7990D5" w14:textId="4CF1378B" w:rsidR="00312245" w:rsidRDefault="00312245" w:rsidP="00312245">
      <w:pPr>
        <w:pStyle w:val="ListParagraph"/>
        <w:numPr>
          <w:ilvl w:val="0"/>
          <w:numId w:val="3"/>
        </w:numPr>
      </w:pPr>
      <w:r w:rsidRPr="002A2A75">
        <w:t xml:space="preserve">Please speak to an Events Adviser for an estimate for your </w:t>
      </w:r>
      <w:r w:rsidR="004E2505" w:rsidRPr="002A2A75">
        <w:t>event. The</w:t>
      </w:r>
      <w:r w:rsidR="00583AC7" w:rsidRPr="002A2A75">
        <w:t xml:space="preserve"> fees for Promotional Activities</w:t>
      </w:r>
      <w:r w:rsidR="00583AC7" w:rsidRPr="00312245">
        <w:rPr>
          <w:b/>
        </w:rPr>
        <w:t xml:space="preserve"> </w:t>
      </w:r>
      <w:r w:rsidR="00583AC7" w:rsidRPr="002A2A75">
        <w:t>vary</w:t>
      </w:r>
      <w:r w:rsidR="00583AC7">
        <w:t xml:space="preserve"> based on location and season</w:t>
      </w:r>
      <w:r w:rsidR="00583AC7" w:rsidRPr="002A2A75">
        <w:t>.</w:t>
      </w:r>
      <w:r w:rsidR="00EB59DE">
        <w:t xml:space="preserve"> </w:t>
      </w:r>
      <w:r w:rsidR="00EB59DE" w:rsidRPr="00EB59DE">
        <w:t>Premium fees apply during peak periods at sites in St Kilda and along the foreshore.</w:t>
      </w:r>
    </w:p>
    <w:p w14:paraId="7CEE6A88" w14:textId="7B3229C6" w:rsidR="00EB449C" w:rsidRDefault="00D24E34" w:rsidP="00312245">
      <w:pPr>
        <w:pStyle w:val="Heading2"/>
      </w:pPr>
      <w:r>
        <w:t>Fees and Charges</w:t>
      </w:r>
    </w:p>
    <w:p w14:paraId="288E8047" w14:textId="66DC10B3" w:rsidR="00EE2DFA" w:rsidRDefault="00EE2DFA" w:rsidP="0001708E">
      <w:pPr>
        <w:pStyle w:val="ListParagraph"/>
        <w:numPr>
          <w:ilvl w:val="0"/>
          <w:numId w:val="3"/>
        </w:numPr>
      </w:pPr>
      <w:r>
        <w:t>All applications will be charged a $</w:t>
      </w:r>
      <w:r w:rsidRPr="00EE2DFA">
        <w:rPr>
          <w:b/>
          <w:bCs/>
        </w:rPr>
        <w:t>1</w:t>
      </w:r>
      <w:r w:rsidR="00BC169C">
        <w:rPr>
          <w:b/>
          <w:bCs/>
        </w:rPr>
        <w:t>2</w:t>
      </w:r>
      <w:r w:rsidRPr="00EE2DFA">
        <w:rPr>
          <w:b/>
          <w:bCs/>
        </w:rPr>
        <w:t>0</w:t>
      </w:r>
      <w:r>
        <w:t xml:space="preserve"> </w:t>
      </w:r>
      <w:r w:rsidRPr="00EE2DFA">
        <w:rPr>
          <w:b/>
          <w:bCs/>
        </w:rPr>
        <w:t>application</w:t>
      </w:r>
      <w:r>
        <w:t xml:space="preserve"> </w:t>
      </w:r>
      <w:r w:rsidRPr="00EE2DFA">
        <w:rPr>
          <w:b/>
          <w:bCs/>
        </w:rPr>
        <w:t>fee</w:t>
      </w:r>
      <w:r>
        <w:t xml:space="preserve">. </w:t>
      </w:r>
    </w:p>
    <w:p w14:paraId="46AAF5AE" w14:textId="21361381" w:rsidR="009E6117" w:rsidRPr="00312245" w:rsidRDefault="009E6117" w:rsidP="00312245">
      <w:pPr>
        <w:pStyle w:val="ListParagraph"/>
        <w:numPr>
          <w:ilvl w:val="0"/>
          <w:numId w:val="3"/>
        </w:numPr>
        <w:rPr>
          <w:bCs/>
        </w:rPr>
      </w:pPr>
      <w:r w:rsidRPr="009E6117">
        <w:rPr>
          <w:bCs/>
        </w:rPr>
        <w:t>Payment is required before permits will be issued.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418"/>
      </w:tblGrid>
      <w:tr w:rsidR="00696746" w:rsidRPr="009D7E40" w14:paraId="64281EF2" w14:textId="77777777" w:rsidTr="001833A8">
        <w:tc>
          <w:tcPr>
            <w:tcW w:w="8217" w:type="dxa"/>
            <w:gridSpan w:val="2"/>
          </w:tcPr>
          <w:p w14:paraId="6B52D7A7" w14:textId="77777777" w:rsidR="00696746" w:rsidRPr="009D7E40" w:rsidRDefault="00696746" w:rsidP="001833A8">
            <w:pPr>
              <w:spacing w:after="0"/>
              <w:rPr>
                <w:b/>
                <w:bCs/>
              </w:rPr>
            </w:pPr>
            <w:r w:rsidRPr="004574BB">
              <w:rPr>
                <w:b/>
                <w:bCs/>
              </w:rPr>
              <w:t>Promotions</w:t>
            </w:r>
          </w:p>
        </w:tc>
      </w:tr>
      <w:tr w:rsidR="00696746" w:rsidRPr="009D7E40" w14:paraId="0398E534" w14:textId="77777777" w:rsidTr="001833A8">
        <w:tc>
          <w:tcPr>
            <w:tcW w:w="6799" w:type="dxa"/>
          </w:tcPr>
          <w:p w14:paraId="72381EB9" w14:textId="77777777" w:rsidR="00696746" w:rsidRPr="004574BB" w:rsidRDefault="00696746" w:rsidP="001833A8">
            <w:pPr>
              <w:spacing w:after="0"/>
            </w:pPr>
            <w:r w:rsidRPr="004574BB">
              <w:t>Distributing Promotional Flyers - for CoPP businesses (per day)</w:t>
            </w:r>
          </w:p>
        </w:tc>
        <w:tc>
          <w:tcPr>
            <w:tcW w:w="1418" w:type="dxa"/>
          </w:tcPr>
          <w:p w14:paraId="6DFFA63A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$12</w:t>
            </w:r>
            <w:r>
              <w:t>4</w:t>
            </w:r>
            <w:r w:rsidRPr="009D7E40">
              <w:t>.00</w:t>
            </w:r>
          </w:p>
        </w:tc>
      </w:tr>
      <w:tr w:rsidR="00696746" w:rsidRPr="009D7E40" w14:paraId="10D44B4C" w14:textId="77777777" w:rsidTr="001833A8">
        <w:tc>
          <w:tcPr>
            <w:tcW w:w="6799" w:type="dxa"/>
          </w:tcPr>
          <w:p w14:paraId="1B9D9F2F" w14:textId="77777777" w:rsidR="00696746" w:rsidRPr="004574BB" w:rsidRDefault="00696746" w:rsidP="001833A8">
            <w:pPr>
              <w:spacing w:after="0"/>
            </w:pPr>
            <w:r w:rsidRPr="004574BB">
              <w:t>Distributing Promotional Flyers - for CoPP businesses (per hour)</w:t>
            </w:r>
          </w:p>
        </w:tc>
        <w:tc>
          <w:tcPr>
            <w:tcW w:w="1418" w:type="dxa"/>
          </w:tcPr>
          <w:p w14:paraId="08F096C2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$2</w:t>
            </w:r>
            <w:r>
              <w:t>6</w:t>
            </w:r>
            <w:r w:rsidRPr="009D7E40">
              <w:t>.00</w:t>
            </w:r>
          </w:p>
        </w:tc>
      </w:tr>
      <w:tr w:rsidR="00696746" w:rsidRPr="009D7E40" w14:paraId="34BBE33D" w14:textId="77777777" w:rsidTr="001833A8">
        <w:tc>
          <w:tcPr>
            <w:tcW w:w="6799" w:type="dxa"/>
            <w:shd w:val="clear" w:color="auto" w:fill="auto"/>
          </w:tcPr>
          <w:p w14:paraId="3B596CA4" w14:textId="77777777" w:rsidR="00696746" w:rsidRPr="004574BB" w:rsidRDefault="00696746" w:rsidP="001833A8">
            <w:pPr>
              <w:spacing w:after="0"/>
            </w:pPr>
            <w:r w:rsidRPr="004574BB">
              <w:t>St Kilda Festival Package - as negotiated ($10,000 - $50,000)</w:t>
            </w:r>
          </w:p>
        </w:tc>
        <w:tc>
          <w:tcPr>
            <w:tcW w:w="1418" w:type="dxa"/>
            <w:shd w:val="clear" w:color="auto" w:fill="auto"/>
          </w:tcPr>
          <w:p w14:paraId="70A994BC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Same fee</w:t>
            </w:r>
          </w:p>
        </w:tc>
      </w:tr>
      <w:tr w:rsidR="00696746" w:rsidRPr="009D7E40" w14:paraId="00064DFF" w14:textId="77777777" w:rsidTr="001833A8">
        <w:tc>
          <w:tcPr>
            <w:tcW w:w="6799" w:type="dxa"/>
            <w:shd w:val="clear" w:color="auto" w:fill="auto"/>
          </w:tcPr>
          <w:p w14:paraId="27096737" w14:textId="77777777" w:rsidR="00696746" w:rsidRPr="0033559A" w:rsidRDefault="00696746" w:rsidP="001833A8">
            <w:pPr>
              <w:spacing w:after="0"/>
            </w:pPr>
            <w:r w:rsidRPr="0033559A">
              <w:t>Promotions &amp; activations premium - roving only, no structures (per hour)</w:t>
            </w:r>
          </w:p>
        </w:tc>
        <w:tc>
          <w:tcPr>
            <w:tcW w:w="1418" w:type="dxa"/>
            <w:shd w:val="clear" w:color="auto" w:fill="auto"/>
          </w:tcPr>
          <w:p w14:paraId="2EC96A78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$5</w:t>
            </w:r>
            <w:r>
              <w:t>56</w:t>
            </w:r>
            <w:r w:rsidRPr="009D7E40">
              <w:t>.00</w:t>
            </w:r>
          </w:p>
        </w:tc>
      </w:tr>
      <w:tr w:rsidR="00696746" w:rsidRPr="009D7E40" w14:paraId="6F893CDF" w14:textId="77777777" w:rsidTr="001833A8">
        <w:tc>
          <w:tcPr>
            <w:tcW w:w="6799" w:type="dxa"/>
            <w:shd w:val="clear" w:color="auto" w:fill="auto"/>
          </w:tcPr>
          <w:p w14:paraId="0CEADF4B" w14:textId="59C5BD48" w:rsidR="00696746" w:rsidRPr="0033559A" w:rsidRDefault="00696746" w:rsidP="001833A8">
            <w:pPr>
              <w:spacing w:after="0"/>
            </w:pPr>
            <w:r w:rsidRPr="0033559A">
              <w:t xml:space="preserve">Promotions </w:t>
            </w:r>
            <w:r w:rsidR="003A0F58">
              <w:t>&amp;</w:t>
            </w:r>
            <w:r w:rsidRPr="0033559A">
              <w:t xml:space="preserve"> activations premium - per hour</w:t>
            </w:r>
          </w:p>
        </w:tc>
        <w:tc>
          <w:tcPr>
            <w:tcW w:w="1418" w:type="dxa"/>
            <w:shd w:val="clear" w:color="auto" w:fill="auto"/>
          </w:tcPr>
          <w:p w14:paraId="298507CE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$8</w:t>
            </w:r>
            <w:r>
              <w:t>30</w:t>
            </w:r>
            <w:r w:rsidRPr="009D7E40">
              <w:t>.00</w:t>
            </w:r>
          </w:p>
        </w:tc>
      </w:tr>
      <w:tr w:rsidR="00696746" w:rsidRPr="009D7E40" w14:paraId="7D786CEB" w14:textId="77777777" w:rsidTr="001833A8">
        <w:tc>
          <w:tcPr>
            <w:tcW w:w="6799" w:type="dxa"/>
            <w:shd w:val="clear" w:color="auto" w:fill="auto"/>
          </w:tcPr>
          <w:p w14:paraId="7EF1393C" w14:textId="77777777" w:rsidR="00696746" w:rsidRPr="0033559A" w:rsidRDefault="00696746" w:rsidP="001833A8">
            <w:pPr>
              <w:spacing w:after="0"/>
            </w:pPr>
            <w:r w:rsidRPr="0033559A">
              <w:t>Promotions &amp; activations premium - per day</w:t>
            </w:r>
          </w:p>
        </w:tc>
        <w:tc>
          <w:tcPr>
            <w:tcW w:w="1418" w:type="dxa"/>
            <w:shd w:val="clear" w:color="auto" w:fill="auto"/>
          </w:tcPr>
          <w:p w14:paraId="072DA750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$5,</w:t>
            </w:r>
            <w:r>
              <w:t>305</w:t>
            </w:r>
            <w:r w:rsidRPr="009D7E40">
              <w:t>.00</w:t>
            </w:r>
          </w:p>
        </w:tc>
      </w:tr>
      <w:tr w:rsidR="00696746" w:rsidRPr="009D7E40" w14:paraId="38F74414" w14:textId="77777777" w:rsidTr="001833A8">
        <w:tc>
          <w:tcPr>
            <w:tcW w:w="6799" w:type="dxa"/>
            <w:shd w:val="clear" w:color="auto" w:fill="auto"/>
          </w:tcPr>
          <w:p w14:paraId="0FF770CE" w14:textId="77777777" w:rsidR="00696746" w:rsidRPr="0033559A" w:rsidRDefault="00696746" w:rsidP="001833A8">
            <w:pPr>
              <w:spacing w:after="0"/>
            </w:pPr>
            <w:r w:rsidRPr="0033559A">
              <w:t>Promotions &amp; activations premium - per day (3 days +)</w:t>
            </w:r>
          </w:p>
        </w:tc>
        <w:tc>
          <w:tcPr>
            <w:tcW w:w="1418" w:type="dxa"/>
            <w:shd w:val="clear" w:color="auto" w:fill="auto"/>
          </w:tcPr>
          <w:p w14:paraId="22AF4503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$3,</w:t>
            </w:r>
            <w:r>
              <w:t>718.</w:t>
            </w:r>
            <w:r w:rsidRPr="009D7E40">
              <w:t>00</w:t>
            </w:r>
          </w:p>
        </w:tc>
      </w:tr>
      <w:tr w:rsidR="00696746" w:rsidRPr="009D7E40" w14:paraId="55B5EB4B" w14:textId="77777777" w:rsidTr="001833A8">
        <w:tc>
          <w:tcPr>
            <w:tcW w:w="6799" w:type="dxa"/>
          </w:tcPr>
          <w:p w14:paraId="00FB91C1" w14:textId="77777777" w:rsidR="00696746" w:rsidRPr="0033559A" w:rsidRDefault="00696746" w:rsidP="001833A8">
            <w:pPr>
              <w:spacing w:after="0"/>
            </w:pPr>
            <w:r w:rsidRPr="0033559A">
              <w:t>Promotions &amp; activations standard - roving only, no structures (per hour)</w:t>
            </w:r>
          </w:p>
        </w:tc>
        <w:tc>
          <w:tcPr>
            <w:tcW w:w="1418" w:type="dxa"/>
            <w:shd w:val="clear" w:color="auto" w:fill="auto"/>
          </w:tcPr>
          <w:p w14:paraId="4E134E76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</w:t>
            </w:r>
            <w:r>
              <w:t>402</w:t>
            </w:r>
            <w:r w:rsidRPr="009D7E40">
              <w:t>.00</w:t>
            </w:r>
          </w:p>
        </w:tc>
      </w:tr>
      <w:tr w:rsidR="00696746" w:rsidRPr="009D7E40" w14:paraId="3610E879" w14:textId="77777777" w:rsidTr="001833A8">
        <w:tc>
          <w:tcPr>
            <w:tcW w:w="6799" w:type="dxa"/>
          </w:tcPr>
          <w:p w14:paraId="3F108D2A" w14:textId="2799AB4D" w:rsidR="00696746" w:rsidRPr="0033559A" w:rsidRDefault="00696746" w:rsidP="001833A8">
            <w:pPr>
              <w:spacing w:after="0"/>
              <w:rPr>
                <w:rFonts w:eastAsia="Calibri"/>
                <w:szCs w:val="24"/>
              </w:rPr>
            </w:pPr>
            <w:r w:rsidRPr="0033559A">
              <w:t>Promotions &amp; activations standard - per h</w:t>
            </w:r>
            <w:r w:rsidR="004C2CA1">
              <w:t>ou</w:t>
            </w:r>
            <w:r w:rsidRPr="0033559A">
              <w:t>r</w:t>
            </w:r>
          </w:p>
        </w:tc>
        <w:tc>
          <w:tcPr>
            <w:tcW w:w="1418" w:type="dxa"/>
            <w:shd w:val="clear" w:color="auto" w:fill="auto"/>
          </w:tcPr>
          <w:p w14:paraId="790453D4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$6</w:t>
            </w:r>
            <w:r>
              <w:t>18</w:t>
            </w:r>
            <w:r w:rsidRPr="009D7E40">
              <w:t>.00</w:t>
            </w:r>
          </w:p>
        </w:tc>
      </w:tr>
      <w:tr w:rsidR="00696746" w:rsidRPr="009D7E40" w14:paraId="38945872" w14:textId="77777777" w:rsidTr="001833A8">
        <w:tc>
          <w:tcPr>
            <w:tcW w:w="6799" w:type="dxa"/>
          </w:tcPr>
          <w:p w14:paraId="41B3388F" w14:textId="77777777" w:rsidR="00696746" w:rsidRPr="0033559A" w:rsidRDefault="00696746" w:rsidP="001833A8">
            <w:pPr>
              <w:spacing w:after="0"/>
            </w:pPr>
            <w:r w:rsidRPr="0033559A">
              <w:t>Promotions &amp; activations standard - per day</w:t>
            </w:r>
          </w:p>
        </w:tc>
        <w:tc>
          <w:tcPr>
            <w:tcW w:w="1418" w:type="dxa"/>
            <w:shd w:val="clear" w:color="auto" w:fill="auto"/>
          </w:tcPr>
          <w:p w14:paraId="138D8E2F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$3,</w:t>
            </w:r>
            <w:r>
              <w:t>564</w:t>
            </w:r>
            <w:r w:rsidRPr="009D7E40">
              <w:t>.00</w:t>
            </w:r>
          </w:p>
        </w:tc>
      </w:tr>
      <w:tr w:rsidR="00696746" w:rsidRPr="009D7E40" w14:paraId="4AD854E6" w14:textId="77777777" w:rsidTr="001833A8">
        <w:tc>
          <w:tcPr>
            <w:tcW w:w="6799" w:type="dxa"/>
          </w:tcPr>
          <w:p w14:paraId="2E11F02C" w14:textId="1480D0A3" w:rsidR="00696746" w:rsidRPr="0033559A" w:rsidRDefault="00696746" w:rsidP="001833A8">
            <w:pPr>
              <w:spacing w:after="0"/>
            </w:pPr>
            <w:r w:rsidRPr="0033559A">
              <w:t>Promotions &amp; activations standard - per day (3 days +)</w:t>
            </w:r>
          </w:p>
        </w:tc>
        <w:tc>
          <w:tcPr>
            <w:tcW w:w="1418" w:type="dxa"/>
            <w:shd w:val="clear" w:color="auto" w:fill="auto"/>
          </w:tcPr>
          <w:p w14:paraId="01378AE6" w14:textId="77777777" w:rsidR="00696746" w:rsidRPr="009D7E40" w:rsidRDefault="00696746" w:rsidP="001833A8">
            <w:pPr>
              <w:spacing w:after="0"/>
              <w:jc w:val="right"/>
            </w:pPr>
            <w:r w:rsidRPr="009D7E40">
              <w:t>$2,9</w:t>
            </w:r>
            <w:r>
              <w:t>87</w:t>
            </w:r>
            <w:r w:rsidRPr="009D7E40">
              <w:t>.00</w:t>
            </w:r>
          </w:p>
        </w:tc>
      </w:tr>
    </w:tbl>
    <w:p w14:paraId="16D68F8E" w14:textId="7D8955EC" w:rsidR="00EE2DFA" w:rsidRDefault="00EE2DFA" w:rsidP="0001708E">
      <w:pPr>
        <w:pStyle w:val="Default"/>
        <w:spacing w:after="160"/>
        <w:rPr>
          <w:rFonts w:ascii="Arial" w:hAnsi="Arial" w:cs="Arial"/>
          <w:b/>
          <w:sz w:val="22"/>
          <w:szCs w:val="22"/>
        </w:rPr>
      </w:pPr>
    </w:p>
    <w:p w14:paraId="671E9054" w14:textId="3ACECF10" w:rsidR="00B243A9" w:rsidRPr="002A2A75" w:rsidRDefault="00B243A9" w:rsidP="0001708E">
      <w:r w:rsidRPr="002A2A75">
        <w:t xml:space="preserve">Payments are accepted via </w:t>
      </w:r>
      <w:r>
        <w:t xml:space="preserve">BPay or </w:t>
      </w:r>
      <w:r w:rsidRPr="002A2A75">
        <w:t>credit card</w:t>
      </w:r>
      <w:r>
        <w:t>.</w:t>
      </w:r>
    </w:p>
    <w:p w14:paraId="14AC0EFB" w14:textId="13CB22DE" w:rsidR="00B243A9" w:rsidRPr="00B243A9" w:rsidRDefault="00B243A9" w:rsidP="0001708E">
      <w:r w:rsidRPr="00B243A9">
        <w:t xml:space="preserve">A card payment fee applies. For current fee details, please visit the </w:t>
      </w:r>
      <w:hyperlink r:id="rId10" w:history="1">
        <w:r w:rsidRPr="00E5446C">
          <w:rPr>
            <w:rStyle w:val="Hyperlink"/>
          </w:rPr>
          <w:t>Card Fees</w:t>
        </w:r>
      </w:hyperlink>
      <w:r w:rsidRPr="00B243A9">
        <w:t xml:space="preserve"> page on our website.</w:t>
      </w:r>
    </w:p>
    <w:p w14:paraId="56D4091C" w14:textId="77777777" w:rsidR="007C71E9" w:rsidRDefault="007C71E9" w:rsidP="00312245">
      <w:pPr>
        <w:pStyle w:val="Heading2"/>
      </w:pPr>
      <w:r>
        <w:t>For further information</w:t>
      </w:r>
    </w:p>
    <w:p w14:paraId="3F97F71D" w14:textId="7D9DCFE9" w:rsidR="0011519C" w:rsidRPr="007C71E9" w:rsidRDefault="007C71E9" w:rsidP="0001708E">
      <w:r w:rsidRPr="007C71E9">
        <w:t>Please contact the Event Services team through either of the following methods:</w:t>
      </w:r>
    </w:p>
    <w:p w14:paraId="726CF963" w14:textId="1012A949" w:rsidR="007C71E9" w:rsidRPr="00051FDE" w:rsidRDefault="007C71E9" w:rsidP="0001708E">
      <w:r w:rsidRPr="00E5446C">
        <w:rPr>
          <w:b/>
          <w:bCs/>
        </w:rPr>
        <w:t>E:</w:t>
      </w:r>
      <w:r w:rsidRPr="00051FDE">
        <w:t xml:space="preserve"> </w:t>
      </w:r>
      <w:hyperlink r:id="rId11" w:history="1">
        <w:r w:rsidRPr="00051FDE">
          <w:rPr>
            <w:rStyle w:val="Hyperlink"/>
          </w:rPr>
          <w:t>eventpermits@portphillip.vic.gov.au</w:t>
        </w:r>
      </w:hyperlink>
    </w:p>
    <w:p w14:paraId="5AB4CC25" w14:textId="1CF7AA8F" w:rsidR="00C36405" w:rsidRPr="008F32FA" w:rsidRDefault="007C71E9" w:rsidP="0001708E">
      <w:r w:rsidRPr="00E5446C">
        <w:rPr>
          <w:b/>
          <w:bCs/>
        </w:rPr>
        <w:t>P.</w:t>
      </w:r>
      <w:r w:rsidRPr="00051FDE">
        <w:t xml:space="preserve"> </w:t>
      </w:r>
      <w:r w:rsidR="00E5446C" w:rsidRPr="00E5446C">
        <w:t>03 9209 6777</w:t>
      </w:r>
    </w:p>
    <w:sectPr w:rsidR="00C36405" w:rsidRPr="008F32FA" w:rsidSect="0001708E">
      <w:headerReference w:type="default" r:id="rId12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2DB1" w14:textId="77777777" w:rsidR="007B62EB" w:rsidRDefault="007B62EB" w:rsidP="004D04F4">
      <w:r>
        <w:separator/>
      </w:r>
    </w:p>
  </w:endnote>
  <w:endnote w:type="continuationSeparator" w:id="0">
    <w:p w14:paraId="6EBBF287" w14:textId="77777777" w:rsidR="007B62EB" w:rsidRDefault="007B62EB" w:rsidP="004D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82E1" w14:textId="77777777" w:rsidR="007B62EB" w:rsidRDefault="007B62EB" w:rsidP="004D04F4">
      <w:r>
        <w:separator/>
      </w:r>
    </w:p>
  </w:footnote>
  <w:footnote w:type="continuationSeparator" w:id="0">
    <w:p w14:paraId="5C94166F" w14:textId="77777777" w:rsidR="007B62EB" w:rsidRDefault="007B62EB" w:rsidP="004D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D66B" w14:textId="510609A6" w:rsidR="000800A8" w:rsidRDefault="0001708E" w:rsidP="004D04F4">
    <w:r>
      <w:rPr>
        <w:color w:val="FFFFFF" w:themeColor="background1"/>
      </w:rPr>
      <w:t xml:space="preserve">City of </w:t>
    </w:r>
    <w:r w:rsidRPr="00BD0F6D">
      <w:rPr>
        <w:color w:val="FFFFFF" w:themeColor="background1"/>
      </w:rPr>
      <w:t xml:space="preserve">Port </w:t>
    </w:r>
    <w:r w:rsidR="000F6D3F">
      <w:rPr>
        <w:noProof/>
      </w:rPr>
      <w:drawing>
        <wp:anchor distT="0" distB="0" distL="114300" distR="114300" simplePos="0" relativeHeight="251661312" behindDoc="1" locked="0" layoutInCell="1" allowOverlap="1" wp14:anchorId="62A55F81" wp14:editId="3DC1C0BB">
          <wp:simplePos x="0" y="0"/>
          <wp:positionH relativeFrom="column">
            <wp:posOffset>-723014</wp:posOffset>
          </wp:positionH>
          <wp:positionV relativeFrom="paragraph">
            <wp:posOffset>-436570</wp:posOffset>
          </wp:positionV>
          <wp:extent cx="7559996" cy="1079128"/>
          <wp:effectExtent l="0" t="0" r="3175" b="6985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079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Phillip– Promotional Activities – 2024-25 Fees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2BC"/>
    <w:multiLevelType w:val="hybridMultilevel"/>
    <w:tmpl w:val="2624B4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0947"/>
    <w:multiLevelType w:val="hybridMultilevel"/>
    <w:tmpl w:val="2E1E84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6276"/>
    <w:multiLevelType w:val="hybridMultilevel"/>
    <w:tmpl w:val="3C0E4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21636">
    <w:abstractNumId w:val="0"/>
  </w:num>
  <w:num w:numId="2" w16cid:durableId="723213949">
    <w:abstractNumId w:val="1"/>
  </w:num>
  <w:num w:numId="3" w16cid:durableId="45136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78"/>
    <w:rsid w:val="0001708E"/>
    <w:rsid w:val="000800A8"/>
    <w:rsid w:val="000F6D3F"/>
    <w:rsid w:val="0011519C"/>
    <w:rsid w:val="00164B8B"/>
    <w:rsid w:val="001E0387"/>
    <w:rsid w:val="001E78F7"/>
    <w:rsid w:val="001F2780"/>
    <w:rsid w:val="001F2F6E"/>
    <w:rsid w:val="002028A7"/>
    <w:rsid w:val="0026397D"/>
    <w:rsid w:val="0028511E"/>
    <w:rsid w:val="00285DE5"/>
    <w:rsid w:val="002C0F6D"/>
    <w:rsid w:val="002D19A9"/>
    <w:rsid w:val="002D35F3"/>
    <w:rsid w:val="002F28BA"/>
    <w:rsid w:val="002F57E6"/>
    <w:rsid w:val="00312245"/>
    <w:rsid w:val="003212A0"/>
    <w:rsid w:val="003A0F58"/>
    <w:rsid w:val="003C076B"/>
    <w:rsid w:val="00400058"/>
    <w:rsid w:val="00440407"/>
    <w:rsid w:val="004435C1"/>
    <w:rsid w:val="00491F77"/>
    <w:rsid w:val="004C2CA1"/>
    <w:rsid w:val="004D04F4"/>
    <w:rsid w:val="004E2505"/>
    <w:rsid w:val="005237AA"/>
    <w:rsid w:val="0054748F"/>
    <w:rsid w:val="00583AC7"/>
    <w:rsid w:val="005C699C"/>
    <w:rsid w:val="005E5FDB"/>
    <w:rsid w:val="006359CE"/>
    <w:rsid w:val="0065237C"/>
    <w:rsid w:val="00674C8E"/>
    <w:rsid w:val="00675FC7"/>
    <w:rsid w:val="00696746"/>
    <w:rsid w:val="006B4BFD"/>
    <w:rsid w:val="007058A3"/>
    <w:rsid w:val="00726F4F"/>
    <w:rsid w:val="007462CD"/>
    <w:rsid w:val="007B62EB"/>
    <w:rsid w:val="007C71E9"/>
    <w:rsid w:val="00826E03"/>
    <w:rsid w:val="00867DF2"/>
    <w:rsid w:val="00876819"/>
    <w:rsid w:val="00881975"/>
    <w:rsid w:val="008F32FA"/>
    <w:rsid w:val="009739EA"/>
    <w:rsid w:val="0099695C"/>
    <w:rsid w:val="009E5D20"/>
    <w:rsid w:val="009E6117"/>
    <w:rsid w:val="00A01940"/>
    <w:rsid w:val="00A300A0"/>
    <w:rsid w:val="00A32823"/>
    <w:rsid w:val="00A65897"/>
    <w:rsid w:val="00B243A9"/>
    <w:rsid w:val="00B45857"/>
    <w:rsid w:val="00B5606E"/>
    <w:rsid w:val="00B608FF"/>
    <w:rsid w:val="00BA4DE9"/>
    <w:rsid w:val="00BC169C"/>
    <w:rsid w:val="00C21837"/>
    <w:rsid w:val="00C36405"/>
    <w:rsid w:val="00C52278"/>
    <w:rsid w:val="00C75262"/>
    <w:rsid w:val="00C75952"/>
    <w:rsid w:val="00C96D99"/>
    <w:rsid w:val="00CF1D26"/>
    <w:rsid w:val="00D24E34"/>
    <w:rsid w:val="00D818F2"/>
    <w:rsid w:val="00D92F17"/>
    <w:rsid w:val="00E07F82"/>
    <w:rsid w:val="00E34B0B"/>
    <w:rsid w:val="00E3788B"/>
    <w:rsid w:val="00E5446C"/>
    <w:rsid w:val="00EB18B9"/>
    <w:rsid w:val="00EB449C"/>
    <w:rsid w:val="00EB59DE"/>
    <w:rsid w:val="00EC052E"/>
    <w:rsid w:val="00ED450D"/>
    <w:rsid w:val="00EE2DFA"/>
    <w:rsid w:val="00F33395"/>
    <w:rsid w:val="00FA0DD6"/>
    <w:rsid w:val="00FC0EEC"/>
    <w:rsid w:val="00FE05CD"/>
    <w:rsid w:val="23C480B7"/>
    <w:rsid w:val="57B1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2C86"/>
  <w15:chartTrackingRefBased/>
  <w15:docId w15:val="{FC5182ED-C914-4CA0-8432-60D2D34D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D04F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rsid w:val="00F3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12245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07184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8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80"/>
    <w:rPr>
      <w:rFonts w:ascii="Arial" w:hAnsi="Arial" w:cs="Arial"/>
    </w:rPr>
  </w:style>
  <w:style w:type="paragraph" w:customStyle="1" w:styleId="Mediareleasedate">
    <w:name w:val="Media release date"/>
    <w:basedOn w:val="Normal"/>
    <w:link w:val="MediareleasedateChar"/>
    <w:rsid w:val="008F32FA"/>
    <w:rPr>
      <w:sz w:val="28"/>
      <w:szCs w:val="28"/>
    </w:rPr>
  </w:style>
  <w:style w:type="paragraph" w:customStyle="1" w:styleId="Factsheetheader1">
    <w:name w:val="Fact sheet header 1"/>
    <w:basedOn w:val="Normal"/>
    <w:link w:val="Factsheetheader1Char"/>
    <w:qFormat/>
    <w:rsid w:val="004D04F4"/>
    <w:rPr>
      <w:color w:val="0090A3"/>
      <w:sz w:val="48"/>
      <w:szCs w:val="48"/>
    </w:rPr>
  </w:style>
  <w:style w:type="character" w:customStyle="1" w:styleId="MediareleasedateChar">
    <w:name w:val="Media release date Char"/>
    <w:basedOn w:val="DefaultParagraphFont"/>
    <w:link w:val="Mediareleasedate"/>
    <w:rsid w:val="008F32FA"/>
    <w:rPr>
      <w:rFonts w:ascii="Arial" w:hAnsi="Arial" w:cs="Arial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actsheetheader1Char">
    <w:name w:val="Fact sheet header 1 Char"/>
    <w:basedOn w:val="DefaultParagraphFont"/>
    <w:link w:val="Factsheetheader1"/>
    <w:rsid w:val="004D04F4"/>
    <w:rPr>
      <w:rFonts w:ascii="Arial" w:hAnsi="Arial" w:cs="Arial"/>
      <w:color w:val="0090A3"/>
      <w:sz w:val="48"/>
      <w:szCs w:val="48"/>
    </w:rPr>
  </w:style>
  <w:style w:type="character" w:styleId="BookTitle">
    <w:name w:val="Book Title"/>
    <w:basedOn w:val="DefaultParagraphFont"/>
    <w:uiPriority w:val="33"/>
    <w:rsid w:val="00F33395"/>
    <w:rPr>
      <w:b/>
      <w:bCs/>
      <w:i/>
      <w:iCs/>
      <w:spacing w:val="5"/>
    </w:rPr>
  </w:style>
  <w:style w:type="paragraph" w:customStyle="1" w:styleId="Factsheetheader2">
    <w:name w:val="Fact sheet header 2"/>
    <w:basedOn w:val="Factsheetheader1"/>
    <w:qFormat/>
    <w:rsid w:val="004D04F4"/>
    <w:rPr>
      <w:b/>
      <w:color w:val="000000" w:themeColor="text1"/>
      <w:sz w:val="32"/>
      <w:szCs w:val="32"/>
    </w:rPr>
  </w:style>
  <w:style w:type="paragraph" w:customStyle="1" w:styleId="BodyBold">
    <w:name w:val="Body Bold"/>
    <w:basedOn w:val="Normal"/>
    <w:qFormat/>
    <w:rsid w:val="004D04F4"/>
    <w:rPr>
      <w:b/>
    </w:rPr>
  </w:style>
  <w:style w:type="paragraph" w:styleId="ListParagraph">
    <w:name w:val="List Paragraph"/>
    <w:basedOn w:val="Normal"/>
    <w:uiPriority w:val="34"/>
    <w:rsid w:val="00A6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8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E9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E2DFA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12245"/>
    <w:rPr>
      <w:rFonts w:ascii="Arial" w:eastAsiaTheme="majorEastAsia" w:hAnsi="Arial" w:cstheme="majorBidi"/>
      <w:b/>
      <w:color w:val="007184"/>
      <w:sz w:val="4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5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permits@portphillip.vic.gov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ortphillip.vic.gov.au/card-fe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D98841F4A7D4B90420CF8C63C5AC3" ma:contentTypeVersion="18" ma:contentTypeDescription="Create a new document." ma:contentTypeScope="" ma:versionID="d09922661c5010ca50c78963a82d8875">
  <xsd:schema xmlns:xsd="http://www.w3.org/2001/XMLSchema" xmlns:xs="http://www.w3.org/2001/XMLSchema" xmlns:p="http://schemas.microsoft.com/office/2006/metadata/properties" xmlns:ns2="9cabe43e-ac0f-4c72-96ee-c07d74419750" xmlns:ns3="2ac6a802-3a8a-4961-9fa5-32617c106be2" targetNamespace="http://schemas.microsoft.com/office/2006/metadata/properties" ma:root="true" ma:fieldsID="0aab4c38944cb7650ec1017c0b618388" ns2:_="" ns3:_="">
    <xsd:import namespace="9cabe43e-ac0f-4c72-96ee-c07d74419750"/>
    <xsd:import namespace="2ac6a802-3a8a-4961-9fa5-32617c10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be43e-ac0f-4c72-96ee-c07d7441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d49f6f-2e1b-47e3-8cce-9f11107ac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a802-3a8a-4961-9fa5-32617c106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140ce2-5bb1-4ab4-9c59-cc2af1c20a5a}" ma:internalName="TaxCatchAll" ma:showField="CatchAllData" ma:web="2ac6a802-3a8a-4961-9fa5-32617c10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be43e-ac0f-4c72-96ee-c07d74419750">
      <Terms xmlns="http://schemas.microsoft.com/office/infopath/2007/PartnerControls"/>
    </lcf76f155ced4ddcb4097134ff3c332f>
    <TaxCatchAll xmlns="2ac6a802-3a8a-4961-9fa5-32617c106b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E754F-760B-4059-84F8-59C411749C5B}"/>
</file>

<file path=customXml/itemProps2.xml><?xml version="1.0" encoding="utf-8"?>
<ds:datastoreItem xmlns:ds="http://schemas.openxmlformats.org/officeDocument/2006/customXml" ds:itemID="{0678E581-CCEB-4DB0-8501-804801874297}">
  <ds:schemaRefs>
    <ds:schemaRef ds:uri="http://schemas.microsoft.com/office/2006/metadata/properties"/>
    <ds:schemaRef ds:uri="http://schemas.microsoft.com/office/infopath/2007/PartnerControls"/>
    <ds:schemaRef ds:uri="9cabe43e-ac0f-4c72-96ee-c07d74419750"/>
    <ds:schemaRef ds:uri="2ac6a802-3a8a-4961-9fa5-32617c106be2"/>
  </ds:schemaRefs>
</ds:datastoreItem>
</file>

<file path=customXml/itemProps3.xml><?xml version="1.0" encoding="utf-8"?>
<ds:datastoreItem xmlns:ds="http://schemas.openxmlformats.org/officeDocument/2006/customXml" ds:itemID="{4561668D-4CEB-4A6D-98CC-56D50681F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Rosser</dc:creator>
  <cp:keywords/>
  <dc:description/>
  <cp:lastModifiedBy>Deitra Herron</cp:lastModifiedBy>
  <cp:revision>12</cp:revision>
  <cp:lastPrinted>2017-12-06T00:29:00Z</cp:lastPrinted>
  <dcterms:created xsi:type="dcterms:W3CDTF">2026-06-30T00:16:00Z</dcterms:created>
  <dcterms:modified xsi:type="dcterms:W3CDTF">2026-06-30T00:25:00Z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0x010100A3CD98841F4A7D4B90420CF8C63C5AC3</vt:lpwstr>
  </property>
  <property fmtid="{D5CDD505-2E9C-101B-9397-08002B2CF9AE}" pid="3" name="MediaServiceImageTags">
    <vt:lpwstr/>
  </property>
</Properties>
</file>