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41DF" w14:textId="1E5C25DB" w:rsidR="00D224DE" w:rsidRPr="00620F2A" w:rsidRDefault="00E90476" w:rsidP="00C27F38">
      <w:pPr>
        <w:pStyle w:val="Title1"/>
        <w:spacing w:before="0"/>
      </w:pPr>
      <w:bookmarkStart w:id="0" w:name="_Toc42771001"/>
      <w:bookmarkStart w:id="1" w:name="_Toc51614828"/>
      <w:bookmarkStart w:id="2" w:name="_Toc54000825"/>
      <w:r>
        <w:t>Youth Access</w:t>
      </w:r>
      <w:r w:rsidR="00C27F38">
        <w:br/>
      </w:r>
      <w:r>
        <w:t>Grants Program</w:t>
      </w:r>
      <w:r w:rsidR="00C27F38">
        <w:br/>
      </w:r>
      <w:r>
        <w:t>Guidelines</w:t>
      </w:r>
      <w:bookmarkEnd w:id="0"/>
      <w:bookmarkEnd w:id="1"/>
      <w:bookmarkEnd w:id="2"/>
    </w:p>
    <w:p w14:paraId="1DE68B97" w14:textId="38F0F571" w:rsidR="00E90476" w:rsidRDefault="001E7126" w:rsidP="00E90476">
      <w:pPr>
        <w:pStyle w:val="Title2"/>
        <w:rPr>
          <w:color w:val="FFFFFF" w:themeColor="background1"/>
        </w:rPr>
      </w:pPr>
      <w:r>
        <w:rPr>
          <w:color w:val="FFFFFF" w:themeColor="background1"/>
        </w:rPr>
        <w:t>December</w:t>
      </w:r>
      <w:r w:rsidR="00E90476">
        <w:rPr>
          <w:color w:val="FFFFFF" w:themeColor="background1"/>
        </w:rPr>
        <w:t xml:space="preserve"> 2020</w:t>
      </w:r>
      <w:r w:rsidR="00E90476">
        <w:rPr>
          <w:color w:val="FFFFFF" w:themeColor="background1"/>
        </w:rPr>
        <w:br w:type="page"/>
      </w:r>
    </w:p>
    <w:p w14:paraId="2459CA84" w14:textId="77777777" w:rsidR="008C7205" w:rsidRDefault="00D224DE" w:rsidP="001A3AAA">
      <w:pPr>
        <w:pStyle w:val="Heading2"/>
        <w:rPr>
          <w:noProof/>
        </w:rPr>
      </w:pPr>
      <w:bookmarkStart w:id="3" w:name="_Toc20735258"/>
      <w:bookmarkStart w:id="4" w:name="_Toc20737512"/>
      <w:bookmarkStart w:id="5" w:name="_Toc42025573"/>
      <w:bookmarkStart w:id="6" w:name="_Toc42025664"/>
      <w:bookmarkStart w:id="7" w:name="_Toc42771002"/>
      <w:bookmarkStart w:id="8" w:name="_Toc51614829"/>
      <w:bookmarkStart w:id="9" w:name="_Toc54000826"/>
      <w:r w:rsidRPr="00620F2A">
        <w:lastRenderedPageBreak/>
        <w:t>Contents</w:t>
      </w:r>
      <w:bookmarkEnd w:id="3"/>
      <w:bookmarkEnd w:id="4"/>
      <w:bookmarkEnd w:id="5"/>
      <w:bookmarkEnd w:id="6"/>
      <w:bookmarkEnd w:id="7"/>
      <w:bookmarkEnd w:id="8"/>
      <w:bookmarkEnd w:id="9"/>
      <w:r w:rsidRPr="00620F2A">
        <w:rPr>
          <w:bCs/>
          <w:color w:val="193C68"/>
          <w:kern w:val="32"/>
          <w:sz w:val="44"/>
          <w:szCs w:val="44"/>
        </w:rPr>
        <w:fldChar w:fldCharType="begin"/>
      </w:r>
      <w:r w:rsidRPr="00620F2A">
        <w:instrText xml:space="preserve"> TOC \o "1-3" \h \z \u </w:instrText>
      </w:r>
      <w:r w:rsidRPr="00620F2A">
        <w:rPr>
          <w:bCs/>
          <w:color w:val="193C68"/>
          <w:kern w:val="32"/>
          <w:sz w:val="44"/>
          <w:szCs w:val="44"/>
        </w:rPr>
        <w:fldChar w:fldCharType="separate"/>
      </w:r>
    </w:p>
    <w:p w14:paraId="23BAE2D3" w14:textId="668242A7" w:rsidR="008C7205" w:rsidRDefault="001E7126">
      <w:pPr>
        <w:pStyle w:val="TOC1"/>
        <w:tabs>
          <w:tab w:val="right" w:leader="dot" w:pos="9628"/>
        </w:tabs>
        <w:rPr>
          <w:rFonts w:asciiTheme="minorHAnsi" w:eastAsiaTheme="minorEastAsia" w:hAnsiTheme="minorHAnsi" w:cstheme="minorBidi"/>
          <w:noProof/>
          <w:color w:val="auto"/>
          <w:lang w:eastAsia="en-AU"/>
        </w:rPr>
      </w:pPr>
      <w:hyperlink w:anchor="_Toc54000825" w:history="1">
        <w:r w:rsidR="008C7205" w:rsidRPr="00434A1E">
          <w:rPr>
            <w:rStyle w:val="Hyperlink"/>
            <w:noProof/>
          </w:rPr>
          <w:t>Youth Access Grants Program Guidelines</w:t>
        </w:r>
        <w:r w:rsidR="008C7205">
          <w:rPr>
            <w:noProof/>
            <w:webHidden/>
          </w:rPr>
          <w:tab/>
        </w:r>
        <w:r w:rsidR="008C7205">
          <w:rPr>
            <w:noProof/>
            <w:webHidden/>
          </w:rPr>
          <w:fldChar w:fldCharType="begin"/>
        </w:r>
        <w:r w:rsidR="008C7205">
          <w:rPr>
            <w:noProof/>
            <w:webHidden/>
          </w:rPr>
          <w:instrText xml:space="preserve"> PAGEREF _Toc54000825 \h </w:instrText>
        </w:r>
        <w:r w:rsidR="008C7205">
          <w:rPr>
            <w:noProof/>
            <w:webHidden/>
          </w:rPr>
        </w:r>
        <w:r w:rsidR="008C7205">
          <w:rPr>
            <w:noProof/>
            <w:webHidden/>
          </w:rPr>
          <w:fldChar w:fldCharType="separate"/>
        </w:r>
        <w:r w:rsidR="008C7205">
          <w:rPr>
            <w:noProof/>
            <w:webHidden/>
          </w:rPr>
          <w:t>1</w:t>
        </w:r>
        <w:r w:rsidR="008C7205">
          <w:rPr>
            <w:noProof/>
            <w:webHidden/>
          </w:rPr>
          <w:fldChar w:fldCharType="end"/>
        </w:r>
      </w:hyperlink>
    </w:p>
    <w:p w14:paraId="539C8D52" w14:textId="181DD0F4" w:rsidR="008C7205" w:rsidRDefault="001E7126">
      <w:pPr>
        <w:pStyle w:val="TOC2"/>
        <w:rPr>
          <w:rFonts w:asciiTheme="minorHAnsi" w:eastAsiaTheme="minorEastAsia" w:hAnsiTheme="minorHAnsi" w:cstheme="minorBidi"/>
          <w:noProof/>
          <w:color w:val="auto"/>
        </w:rPr>
      </w:pPr>
      <w:hyperlink w:anchor="_Toc54000826" w:history="1">
        <w:r w:rsidR="008C7205" w:rsidRPr="00434A1E">
          <w:rPr>
            <w:rStyle w:val="Hyperlink"/>
            <w:noProof/>
          </w:rPr>
          <w:t>Contents</w:t>
        </w:r>
        <w:r w:rsidR="008C7205">
          <w:rPr>
            <w:noProof/>
            <w:webHidden/>
          </w:rPr>
          <w:tab/>
        </w:r>
        <w:r w:rsidR="008C7205">
          <w:rPr>
            <w:noProof/>
            <w:webHidden/>
          </w:rPr>
          <w:fldChar w:fldCharType="begin"/>
        </w:r>
        <w:r w:rsidR="008C7205">
          <w:rPr>
            <w:noProof/>
            <w:webHidden/>
          </w:rPr>
          <w:instrText xml:space="preserve"> PAGEREF _Toc54000826 \h </w:instrText>
        </w:r>
        <w:r w:rsidR="008C7205">
          <w:rPr>
            <w:noProof/>
            <w:webHidden/>
          </w:rPr>
        </w:r>
        <w:r w:rsidR="008C7205">
          <w:rPr>
            <w:noProof/>
            <w:webHidden/>
          </w:rPr>
          <w:fldChar w:fldCharType="separate"/>
        </w:r>
        <w:r w:rsidR="008C7205">
          <w:rPr>
            <w:noProof/>
            <w:webHidden/>
          </w:rPr>
          <w:t>2</w:t>
        </w:r>
        <w:r w:rsidR="008C7205">
          <w:rPr>
            <w:noProof/>
            <w:webHidden/>
          </w:rPr>
          <w:fldChar w:fldCharType="end"/>
        </w:r>
      </w:hyperlink>
    </w:p>
    <w:p w14:paraId="37E6665F" w14:textId="1D127A3C" w:rsidR="008C7205" w:rsidRDefault="001E7126">
      <w:pPr>
        <w:pStyle w:val="TOC2"/>
        <w:rPr>
          <w:rFonts w:asciiTheme="minorHAnsi" w:eastAsiaTheme="minorEastAsia" w:hAnsiTheme="minorHAnsi" w:cstheme="minorBidi"/>
          <w:noProof/>
          <w:color w:val="auto"/>
        </w:rPr>
      </w:pPr>
      <w:hyperlink w:anchor="_Toc54000827" w:history="1">
        <w:r w:rsidR="008C7205" w:rsidRPr="00434A1E">
          <w:rPr>
            <w:rStyle w:val="Hyperlink"/>
            <w:noProof/>
          </w:rPr>
          <w:t>Introduction</w:t>
        </w:r>
        <w:r w:rsidR="008C7205">
          <w:rPr>
            <w:noProof/>
            <w:webHidden/>
          </w:rPr>
          <w:tab/>
        </w:r>
        <w:r w:rsidR="008C7205">
          <w:rPr>
            <w:noProof/>
            <w:webHidden/>
          </w:rPr>
          <w:fldChar w:fldCharType="begin"/>
        </w:r>
        <w:r w:rsidR="008C7205">
          <w:rPr>
            <w:noProof/>
            <w:webHidden/>
          </w:rPr>
          <w:instrText xml:space="preserve"> PAGEREF _Toc54000827 \h </w:instrText>
        </w:r>
        <w:r w:rsidR="008C7205">
          <w:rPr>
            <w:noProof/>
            <w:webHidden/>
          </w:rPr>
        </w:r>
        <w:r w:rsidR="008C7205">
          <w:rPr>
            <w:noProof/>
            <w:webHidden/>
          </w:rPr>
          <w:fldChar w:fldCharType="separate"/>
        </w:r>
        <w:r w:rsidR="008C7205">
          <w:rPr>
            <w:noProof/>
            <w:webHidden/>
          </w:rPr>
          <w:t>3</w:t>
        </w:r>
        <w:r w:rsidR="008C7205">
          <w:rPr>
            <w:noProof/>
            <w:webHidden/>
          </w:rPr>
          <w:fldChar w:fldCharType="end"/>
        </w:r>
      </w:hyperlink>
    </w:p>
    <w:p w14:paraId="1CF20D5A" w14:textId="3300E04B" w:rsidR="008C7205" w:rsidRDefault="001E7126">
      <w:pPr>
        <w:pStyle w:val="TOC3"/>
        <w:rPr>
          <w:rFonts w:asciiTheme="minorHAnsi" w:eastAsiaTheme="minorEastAsia" w:hAnsiTheme="minorHAnsi" w:cstheme="minorBidi"/>
          <w:noProof/>
          <w:color w:val="auto"/>
        </w:rPr>
      </w:pPr>
      <w:hyperlink w:anchor="_Toc54000828" w:history="1">
        <w:r w:rsidR="008C7205" w:rsidRPr="00434A1E">
          <w:rPr>
            <w:rStyle w:val="Hyperlink"/>
            <w:noProof/>
          </w:rPr>
          <w:t>The needs and interests of young people living in Port Phillip</w:t>
        </w:r>
        <w:r w:rsidR="008C7205">
          <w:rPr>
            <w:noProof/>
            <w:webHidden/>
          </w:rPr>
          <w:tab/>
        </w:r>
        <w:r w:rsidR="008C7205">
          <w:rPr>
            <w:noProof/>
            <w:webHidden/>
          </w:rPr>
          <w:fldChar w:fldCharType="begin"/>
        </w:r>
        <w:r w:rsidR="008C7205">
          <w:rPr>
            <w:noProof/>
            <w:webHidden/>
          </w:rPr>
          <w:instrText xml:space="preserve"> PAGEREF _Toc54000828 \h </w:instrText>
        </w:r>
        <w:r w:rsidR="008C7205">
          <w:rPr>
            <w:noProof/>
            <w:webHidden/>
          </w:rPr>
        </w:r>
        <w:r w:rsidR="008C7205">
          <w:rPr>
            <w:noProof/>
            <w:webHidden/>
          </w:rPr>
          <w:fldChar w:fldCharType="separate"/>
        </w:r>
        <w:r w:rsidR="008C7205">
          <w:rPr>
            <w:noProof/>
            <w:webHidden/>
          </w:rPr>
          <w:t>3</w:t>
        </w:r>
        <w:r w:rsidR="008C7205">
          <w:rPr>
            <w:noProof/>
            <w:webHidden/>
          </w:rPr>
          <w:fldChar w:fldCharType="end"/>
        </w:r>
      </w:hyperlink>
    </w:p>
    <w:p w14:paraId="0CF6EA13" w14:textId="1CE88590" w:rsidR="008C7205" w:rsidRDefault="001E7126">
      <w:pPr>
        <w:pStyle w:val="TOC3"/>
        <w:rPr>
          <w:rFonts w:asciiTheme="minorHAnsi" w:eastAsiaTheme="minorEastAsia" w:hAnsiTheme="minorHAnsi" w:cstheme="minorBidi"/>
          <w:noProof/>
          <w:color w:val="auto"/>
        </w:rPr>
      </w:pPr>
      <w:hyperlink w:anchor="_Toc54000829" w:history="1">
        <w:r w:rsidR="008C7205" w:rsidRPr="00434A1E">
          <w:rPr>
            <w:rStyle w:val="Hyperlink"/>
            <w:noProof/>
          </w:rPr>
          <w:t>Purpose of the program</w:t>
        </w:r>
        <w:r w:rsidR="008C7205">
          <w:rPr>
            <w:noProof/>
            <w:webHidden/>
          </w:rPr>
          <w:tab/>
        </w:r>
        <w:r w:rsidR="008C7205">
          <w:rPr>
            <w:noProof/>
            <w:webHidden/>
          </w:rPr>
          <w:fldChar w:fldCharType="begin"/>
        </w:r>
        <w:r w:rsidR="008C7205">
          <w:rPr>
            <w:noProof/>
            <w:webHidden/>
          </w:rPr>
          <w:instrText xml:space="preserve"> PAGEREF _Toc54000829 \h </w:instrText>
        </w:r>
        <w:r w:rsidR="008C7205">
          <w:rPr>
            <w:noProof/>
            <w:webHidden/>
          </w:rPr>
        </w:r>
        <w:r w:rsidR="008C7205">
          <w:rPr>
            <w:noProof/>
            <w:webHidden/>
          </w:rPr>
          <w:fldChar w:fldCharType="separate"/>
        </w:r>
        <w:r w:rsidR="008C7205">
          <w:rPr>
            <w:noProof/>
            <w:webHidden/>
          </w:rPr>
          <w:t>3</w:t>
        </w:r>
        <w:r w:rsidR="008C7205">
          <w:rPr>
            <w:noProof/>
            <w:webHidden/>
          </w:rPr>
          <w:fldChar w:fldCharType="end"/>
        </w:r>
      </w:hyperlink>
    </w:p>
    <w:p w14:paraId="777E8D1A" w14:textId="3732F520" w:rsidR="008C7205" w:rsidRDefault="001E7126">
      <w:pPr>
        <w:pStyle w:val="TOC2"/>
        <w:rPr>
          <w:rFonts w:asciiTheme="minorHAnsi" w:eastAsiaTheme="minorEastAsia" w:hAnsiTheme="minorHAnsi" w:cstheme="minorBidi"/>
          <w:noProof/>
          <w:color w:val="auto"/>
        </w:rPr>
      </w:pPr>
      <w:hyperlink w:anchor="_Toc54000830" w:history="1">
        <w:r w:rsidR="008C7205" w:rsidRPr="00434A1E">
          <w:rPr>
            <w:rStyle w:val="Hyperlink"/>
            <w:noProof/>
          </w:rPr>
          <w:t>Funding streams</w:t>
        </w:r>
        <w:r w:rsidR="008C7205">
          <w:rPr>
            <w:noProof/>
            <w:webHidden/>
          </w:rPr>
          <w:tab/>
        </w:r>
        <w:r w:rsidR="008C7205">
          <w:rPr>
            <w:noProof/>
            <w:webHidden/>
          </w:rPr>
          <w:fldChar w:fldCharType="begin"/>
        </w:r>
        <w:r w:rsidR="008C7205">
          <w:rPr>
            <w:noProof/>
            <w:webHidden/>
          </w:rPr>
          <w:instrText xml:space="preserve"> PAGEREF _Toc54000830 \h </w:instrText>
        </w:r>
        <w:r w:rsidR="008C7205">
          <w:rPr>
            <w:noProof/>
            <w:webHidden/>
          </w:rPr>
        </w:r>
        <w:r w:rsidR="008C7205">
          <w:rPr>
            <w:noProof/>
            <w:webHidden/>
          </w:rPr>
          <w:fldChar w:fldCharType="separate"/>
        </w:r>
        <w:r w:rsidR="008C7205">
          <w:rPr>
            <w:noProof/>
            <w:webHidden/>
          </w:rPr>
          <w:t>4</w:t>
        </w:r>
        <w:r w:rsidR="008C7205">
          <w:rPr>
            <w:noProof/>
            <w:webHidden/>
          </w:rPr>
          <w:fldChar w:fldCharType="end"/>
        </w:r>
      </w:hyperlink>
    </w:p>
    <w:p w14:paraId="4CF8131C" w14:textId="7634F535" w:rsidR="008C7205" w:rsidRDefault="001E7126">
      <w:pPr>
        <w:pStyle w:val="TOC3"/>
        <w:rPr>
          <w:rFonts w:asciiTheme="minorHAnsi" w:eastAsiaTheme="minorEastAsia" w:hAnsiTheme="minorHAnsi" w:cstheme="minorBidi"/>
          <w:noProof/>
          <w:color w:val="auto"/>
        </w:rPr>
      </w:pPr>
      <w:hyperlink w:anchor="_Toc54000831" w:history="1">
        <w:r w:rsidR="008C7205" w:rsidRPr="00434A1E">
          <w:rPr>
            <w:rStyle w:val="Hyperlink"/>
            <w:noProof/>
          </w:rPr>
          <w:t>Stream 1: Get Involved Grant</w:t>
        </w:r>
        <w:r w:rsidR="008C7205">
          <w:rPr>
            <w:noProof/>
            <w:webHidden/>
          </w:rPr>
          <w:tab/>
        </w:r>
        <w:r w:rsidR="008C7205">
          <w:rPr>
            <w:noProof/>
            <w:webHidden/>
          </w:rPr>
          <w:fldChar w:fldCharType="begin"/>
        </w:r>
        <w:r w:rsidR="008C7205">
          <w:rPr>
            <w:noProof/>
            <w:webHidden/>
          </w:rPr>
          <w:instrText xml:space="preserve"> PAGEREF _Toc54000831 \h </w:instrText>
        </w:r>
        <w:r w:rsidR="008C7205">
          <w:rPr>
            <w:noProof/>
            <w:webHidden/>
          </w:rPr>
        </w:r>
        <w:r w:rsidR="008C7205">
          <w:rPr>
            <w:noProof/>
            <w:webHidden/>
          </w:rPr>
          <w:fldChar w:fldCharType="separate"/>
        </w:r>
        <w:r w:rsidR="008C7205">
          <w:rPr>
            <w:noProof/>
            <w:webHidden/>
          </w:rPr>
          <w:t>4</w:t>
        </w:r>
        <w:r w:rsidR="008C7205">
          <w:rPr>
            <w:noProof/>
            <w:webHidden/>
          </w:rPr>
          <w:fldChar w:fldCharType="end"/>
        </w:r>
      </w:hyperlink>
    </w:p>
    <w:p w14:paraId="6401EBF7" w14:textId="16F7BFAB" w:rsidR="008C7205" w:rsidRDefault="001E7126">
      <w:pPr>
        <w:pStyle w:val="TOC3"/>
        <w:rPr>
          <w:rFonts w:asciiTheme="minorHAnsi" w:eastAsiaTheme="minorEastAsia" w:hAnsiTheme="minorHAnsi" w:cstheme="minorBidi"/>
          <w:noProof/>
          <w:color w:val="auto"/>
        </w:rPr>
      </w:pPr>
      <w:hyperlink w:anchor="_Toc54000832" w:history="1">
        <w:r w:rsidR="008C7205" w:rsidRPr="00434A1E">
          <w:rPr>
            <w:rStyle w:val="Hyperlink"/>
            <w:noProof/>
          </w:rPr>
          <w:t>Stream 2: Recreation Programs Grant</w:t>
        </w:r>
        <w:r w:rsidR="008C7205">
          <w:rPr>
            <w:noProof/>
            <w:webHidden/>
          </w:rPr>
          <w:tab/>
        </w:r>
        <w:r w:rsidR="008C7205">
          <w:rPr>
            <w:noProof/>
            <w:webHidden/>
          </w:rPr>
          <w:fldChar w:fldCharType="begin"/>
        </w:r>
        <w:r w:rsidR="008C7205">
          <w:rPr>
            <w:noProof/>
            <w:webHidden/>
          </w:rPr>
          <w:instrText xml:space="preserve"> PAGEREF _Toc54000832 \h </w:instrText>
        </w:r>
        <w:r w:rsidR="008C7205">
          <w:rPr>
            <w:noProof/>
            <w:webHidden/>
          </w:rPr>
        </w:r>
        <w:r w:rsidR="008C7205">
          <w:rPr>
            <w:noProof/>
            <w:webHidden/>
          </w:rPr>
          <w:fldChar w:fldCharType="separate"/>
        </w:r>
        <w:r w:rsidR="008C7205">
          <w:rPr>
            <w:noProof/>
            <w:webHidden/>
          </w:rPr>
          <w:t>5</w:t>
        </w:r>
        <w:r w:rsidR="008C7205">
          <w:rPr>
            <w:noProof/>
            <w:webHidden/>
          </w:rPr>
          <w:fldChar w:fldCharType="end"/>
        </w:r>
      </w:hyperlink>
    </w:p>
    <w:p w14:paraId="38C657EB" w14:textId="266D6F3B" w:rsidR="008C7205" w:rsidRDefault="001E7126">
      <w:pPr>
        <w:pStyle w:val="TOC2"/>
        <w:rPr>
          <w:rFonts w:asciiTheme="minorHAnsi" w:eastAsiaTheme="minorEastAsia" w:hAnsiTheme="minorHAnsi" w:cstheme="minorBidi"/>
          <w:noProof/>
          <w:color w:val="auto"/>
        </w:rPr>
      </w:pPr>
      <w:hyperlink w:anchor="_Toc54000833" w:history="1">
        <w:r w:rsidR="008C7205" w:rsidRPr="00434A1E">
          <w:rPr>
            <w:rStyle w:val="Hyperlink"/>
            <w:noProof/>
          </w:rPr>
          <w:t>Timeline</w:t>
        </w:r>
        <w:r w:rsidR="008C7205">
          <w:rPr>
            <w:noProof/>
            <w:webHidden/>
          </w:rPr>
          <w:tab/>
        </w:r>
        <w:r w:rsidR="008C7205">
          <w:rPr>
            <w:noProof/>
            <w:webHidden/>
          </w:rPr>
          <w:fldChar w:fldCharType="begin"/>
        </w:r>
        <w:r w:rsidR="008C7205">
          <w:rPr>
            <w:noProof/>
            <w:webHidden/>
          </w:rPr>
          <w:instrText xml:space="preserve"> PAGEREF _Toc54000833 \h </w:instrText>
        </w:r>
        <w:r w:rsidR="008C7205">
          <w:rPr>
            <w:noProof/>
            <w:webHidden/>
          </w:rPr>
        </w:r>
        <w:r w:rsidR="008C7205">
          <w:rPr>
            <w:noProof/>
            <w:webHidden/>
          </w:rPr>
          <w:fldChar w:fldCharType="separate"/>
        </w:r>
        <w:r w:rsidR="008C7205">
          <w:rPr>
            <w:noProof/>
            <w:webHidden/>
          </w:rPr>
          <w:t>8</w:t>
        </w:r>
        <w:r w:rsidR="008C7205">
          <w:rPr>
            <w:noProof/>
            <w:webHidden/>
          </w:rPr>
          <w:fldChar w:fldCharType="end"/>
        </w:r>
      </w:hyperlink>
    </w:p>
    <w:p w14:paraId="2C27AF82" w14:textId="6F1A98A5" w:rsidR="008C7205" w:rsidRDefault="001E7126">
      <w:pPr>
        <w:pStyle w:val="TOC2"/>
        <w:rPr>
          <w:rFonts w:asciiTheme="minorHAnsi" w:eastAsiaTheme="minorEastAsia" w:hAnsiTheme="minorHAnsi" w:cstheme="minorBidi"/>
          <w:noProof/>
          <w:color w:val="auto"/>
        </w:rPr>
      </w:pPr>
      <w:hyperlink w:anchor="_Toc54000834" w:history="1">
        <w:r w:rsidR="008C7205" w:rsidRPr="00434A1E">
          <w:rPr>
            <w:rStyle w:val="Hyperlink"/>
            <w:noProof/>
          </w:rPr>
          <w:t>Information sessions</w:t>
        </w:r>
        <w:r w:rsidR="008C7205">
          <w:rPr>
            <w:noProof/>
            <w:webHidden/>
          </w:rPr>
          <w:tab/>
        </w:r>
        <w:r w:rsidR="008C7205">
          <w:rPr>
            <w:noProof/>
            <w:webHidden/>
          </w:rPr>
          <w:fldChar w:fldCharType="begin"/>
        </w:r>
        <w:r w:rsidR="008C7205">
          <w:rPr>
            <w:noProof/>
            <w:webHidden/>
          </w:rPr>
          <w:instrText xml:space="preserve"> PAGEREF _Toc54000834 \h </w:instrText>
        </w:r>
        <w:r w:rsidR="008C7205">
          <w:rPr>
            <w:noProof/>
            <w:webHidden/>
          </w:rPr>
        </w:r>
        <w:r w:rsidR="008C7205">
          <w:rPr>
            <w:noProof/>
            <w:webHidden/>
          </w:rPr>
          <w:fldChar w:fldCharType="separate"/>
        </w:r>
        <w:r w:rsidR="008C7205">
          <w:rPr>
            <w:noProof/>
            <w:webHidden/>
          </w:rPr>
          <w:t>9</w:t>
        </w:r>
        <w:r w:rsidR="008C7205">
          <w:rPr>
            <w:noProof/>
            <w:webHidden/>
          </w:rPr>
          <w:fldChar w:fldCharType="end"/>
        </w:r>
      </w:hyperlink>
    </w:p>
    <w:p w14:paraId="0984DF9A" w14:textId="47581506" w:rsidR="008C7205" w:rsidRDefault="001E7126">
      <w:pPr>
        <w:pStyle w:val="TOC2"/>
        <w:rPr>
          <w:rFonts w:asciiTheme="minorHAnsi" w:eastAsiaTheme="minorEastAsia" w:hAnsiTheme="minorHAnsi" w:cstheme="minorBidi"/>
          <w:noProof/>
          <w:color w:val="auto"/>
        </w:rPr>
      </w:pPr>
      <w:hyperlink w:anchor="_Toc54000835" w:history="1">
        <w:r w:rsidR="008C7205" w:rsidRPr="00434A1E">
          <w:rPr>
            <w:rStyle w:val="Hyperlink"/>
            <w:noProof/>
          </w:rPr>
          <w:t>Submitting your application</w:t>
        </w:r>
        <w:r w:rsidR="008C7205">
          <w:rPr>
            <w:noProof/>
            <w:webHidden/>
          </w:rPr>
          <w:tab/>
        </w:r>
        <w:r w:rsidR="008C7205">
          <w:rPr>
            <w:noProof/>
            <w:webHidden/>
          </w:rPr>
          <w:fldChar w:fldCharType="begin"/>
        </w:r>
        <w:r w:rsidR="008C7205">
          <w:rPr>
            <w:noProof/>
            <w:webHidden/>
          </w:rPr>
          <w:instrText xml:space="preserve"> PAGEREF _Toc54000835 \h </w:instrText>
        </w:r>
        <w:r w:rsidR="008C7205">
          <w:rPr>
            <w:noProof/>
            <w:webHidden/>
          </w:rPr>
        </w:r>
        <w:r w:rsidR="008C7205">
          <w:rPr>
            <w:noProof/>
            <w:webHidden/>
          </w:rPr>
          <w:fldChar w:fldCharType="separate"/>
        </w:r>
        <w:r w:rsidR="008C7205">
          <w:rPr>
            <w:noProof/>
            <w:webHidden/>
          </w:rPr>
          <w:t>10</w:t>
        </w:r>
        <w:r w:rsidR="008C7205">
          <w:rPr>
            <w:noProof/>
            <w:webHidden/>
          </w:rPr>
          <w:fldChar w:fldCharType="end"/>
        </w:r>
      </w:hyperlink>
    </w:p>
    <w:p w14:paraId="4982D476" w14:textId="27B82A4B" w:rsidR="008C7205" w:rsidRDefault="001E7126">
      <w:pPr>
        <w:pStyle w:val="TOC2"/>
        <w:rPr>
          <w:rFonts w:asciiTheme="minorHAnsi" w:eastAsiaTheme="minorEastAsia" w:hAnsiTheme="minorHAnsi" w:cstheme="minorBidi"/>
          <w:noProof/>
          <w:color w:val="auto"/>
        </w:rPr>
      </w:pPr>
      <w:hyperlink w:anchor="_Toc54000836" w:history="1">
        <w:r w:rsidR="008C7205" w:rsidRPr="00434A1E">
          <w:rPr>
            <w:rStyle w:val="Hyperlink"/>
            <w:noProof/>
          </w:rPr>
          <w:t>Required documentation</w:t>
        </w:r>
        <w:r w:rsidR="008C7205">
          <w:rPr>
            <w:noProof/>
            <w:webHidden/>
          </w:rPr>
          <w:tab/>
        </w:r>
        <w:r w:rsidR="008C7205">
          <w:rPr>
            <w:noProof/>
            <w:webHidden/>
          </w:rPr>
          <w:fldChar w:fldCharType="begin"/>
        </w:r>
        <w:r w:rsidR="008C7205">
          <w:rPr>
            <w:noProof/>
            <w:webHidden/>
          </w:rPr>
          <w:instrText xml:space="preserve"> PAGEREF _Toc54000836 \h </w:instrText>
        </w:r>
        <w:r w:rsidR="008C7205">
          <w:rPr>
            <w:noProof/>
            <w:webHidden/>
          </w:rPr>
        </w:r>
        <w:r w:rsidR="008C7205">
          <w:rPr>
            <w:noProof/>
            <w:webHidden/>
          </w:rPr>
          <w:fldChar w:fldCharType="separate"/>
        </w:r>
        <w:r w:rsidR="008C7205">
          <w:rPr>
            <w:noProof/>
            <w:webHidden/>
          </w:rPr>
          <w:t>10</w:t>
        </w:r>
        <w:r w:rsidR="008C7205">
          <w:rPr>
            <w:noProof/>
            <w:webHidden/>
          </w:rPr>
          <w:fldChar w:fldCharType="end"/>
        </w:r>
      </w:hyperlink>
    </w:p>
    <w:p w14:paraId="3B1D9194" w14:textId="02CCC206" w:rsidR="008C7205" w:rsidRDefault="001E7126">
      <w:pPr>
        <w:pStyle w:val="TOC3"/>
        <w:rPr>
          <w:rFonts w:asciiTheme="minorHAnsi" w:eastAsiaTheme="minorEastAsia" w:hAnsiTheme="minorHAnsi" w:cstheme="minorBidi"/>
          <w:noProof/>
          <w:color w:val="auto"/>
        </w:rPr>
      </w:pPr>
      <w:hyperlink w:anchor="_Toc54000837" w:history="1">
        <w:r w:rsidR="008C7205" w:rsidRPr="00434A1E">
          <w:rPr>
            <w:rStyle w:val="Hyperlink"/>
            <w:noProof/>
          </w:rPr>
          <w:t>Incorporation</w:t>
        </w:r>
        <w:r w:rsidR="008C7205">
          <w:rPr>
            <w:noProof/>
            <w:webHidden/>
          </w:rPr>
          <w:tab/>
        </w:r>
        <w:r w:rsidR="008C7205">
          <w:rPr>
            <w:noProof/>
            <w:webHidden/>
          </w:rPr>
          <w:fldChar w:fldCharType="begin"/>
        </w:r>
        <w:r w:rsidR="008C7205">
          <w:rPr>
            <w:noProof/>
            <w:webHidden/>
          </w:rPr>
          <w:instrText xml:space="preserve"> PAGEREF _Toc54000837 \h </w:instrText>
        </w:r>
        <w:r w:rsidR="008C7205">
          <w:rPr>
            <w:noProof/>
            <w:webHidden/>
          </w:rPr>
        </w:r>
        <w:r w:rsidR="008C7205">
          <w:rPr>
            <w:noProof/>
            <w:webHidden/>
          </w:rPr>
          <w:fldChar w:fldCharType="separate"/>
        </w:r>
        <w:r w:rsidR="008C7205">
          <w:rPr>
            <w:noProof/>
            <w:webHidden/>
          </w:rPr>
          <w:t>10</w:t>
        </w:r>
        <w:r w:rsidR="008C7205">
          <w:rPr>
            <w:noProof/>
            <w:webHidden/>
          </w:rPr>
          <w:fldChar w:fldCharType="end"/>
        </w:r>
      </w:hyperlink>
    </w:p>
    <w:p w14:paraId="7866A504" w14:textId="2AF69A2B" w:rsidR="008C7205" w:rsidRDefault="001E7126">
      <w:pPr>
        <w:pStyle w:val="TOC3"/>
        <w:rPr>
          <w:rFonts w:asciiTheme="minorHAnsi" w:eastAsiaTheme="minorEastAsia" w:hAnsiTheme="minorHAnsi" w:cstheme="minorBidi"/>
          <w:noProof/>
          <w:color w:val="auto"/>
        </w:rPr>
      </w:pPr>
      <w:hyperlink w:anchor="_Toc54000838" w:history="1">
        <w:r w:rsidR="008C7205" w:rsidRPr="00434A1E">
          <w:rPr>
            <w:rStyle w:val="Hyperlink"/>
            <w:noProof/>
          </w:rPr>
          <w:t>Auspice organisation</w:t>
        </w:r>
        <w:r w:rsidR="008C7205">
          <w:rPr>
            <w:noProof/>
            <w:webHidden/>
          </w:rPr>
          <w:tab/>
        </w:r>
        <w:r w:rsidR="008C7205">
          <w:rPr>
            <w:noProof/>
            <w:webHidden/>
          </w:rPr>
          <w:fldChar w:fldCharType="begin"/>
        </w:r>
        <w:r w:rsidR="008C7205">
          <w:rPr>
            <w:noProof/>
            <w:webHidden/>
          </w:rPr>
          <w:instrText xml:space="preserve"> PAGEREF _Toc54000838 \h </w:instrText>
        </w:r>
        <w:r w:rsidR="008C7205">
          <w:rPr>
            <w:noProof/>
            <w:webHidden/>
          </w:rPr>
        </w:r>
        <w:r w:rsidR="008C7205">
          <w:rPr>
            <w:noProof/>
            <w:webHidden/>
          </w:rPr>
          <w:fldChar w:fldCharType="separate"/>
        </w:r>
        <w:r w:rsidR="008C7205">
          <w:rPr>
            <w:noProof/>
            <w:webHidden/>
          </w:rPr>
          <w:t>10</w:t>
        </w:r>
        <w:r w:rsidR="008C7205">
          <w:rPr>
            <w:noProof/>
            <w:webHidden/>
          </w:rPr>
          <w:fldChar w:fldCharType="end"/>
        </w:r>
      </w:hyperlink>
    </w:p>
    <w:p w14:paraId="14D58AE2" w14:textId="50DA84A4" w:rsidR="008C7205" w:rsidRDefault="001E7126">
      <w:pPr>
        <w:pStyle w:val="TOC3"/>
        <w:rPr>
          <w:rFonts w:asciiTheme="minorHAnsi" w:eastAsiaTheme="minorEastAsia" w:hAnsiTheme="minorHAnsi" w:cstheme="minorBidi"/>
          <w:noProof/>
          <w:color w:val="auto"/>
        </w:rPr>
      </w:pPr>
      <w:hyperlink w:anchor="_Toc54000839" w:history="1">
        <w:r w:rsidR="008C7205" w:rsidRPr="00434A1E">
          <w:rPr>
            <w:rStyle w:val="Hyperlink"/>
            <w:noProof/>
          </w:rPr>
          <w:t>Public and Products Liability Insurance</w:t>
        </w:r>
        <w:r w:rsidR="008C7205">
          <w:rPr>
            <w:noProof/>
            <w:webHidden/>
          </w:rPr>
          <w:tab/>
        </w:r>
        <w:r w:rsidR="008C7205">
          <w:rPr>
            <w:noProof/>
            <w:webHidden/>
          </w:rPr>
          <w:fldChar w:fldCharType="begin"/>
        </w:r>
        <w:r w:rsidR="008C7205">
          <w:rPr>
            <w:noProof/>
            <w:webHidden/>
          </w:rPr>
          <w:instrText xml:space="preserve"> PAGEREF _Toc54000839 \h </w:instrText>
        </w:r>
        <w:r w:rsidR="008C7205">
          <w:rPr>
            <w:noProof/>
            <w:webHidden/>
          </w:rPr>
        </w:r>
        <w:r w:rsidR="008C7205">
          <w:rPr>
            <w:noProof/>
            <w:webHidden/>
          </w:rPr>
          <w:fldChar w:fldCharType="separate"/>
        </w:r>
        <w:r w:rsidR="008C7205">
          <w:rPr>
            <w:noProof/>
            <w:webHidden/>
          </w:rPr>
          <w:t>11</w:t>
        </w:r>
        <w:r w:rsidR="008C7205">
          <w:rPr>
            <w:noProof/>
            <w:webHidden/>
          </w:rPr>
          <w:fldChar w:fldCharType="end"/>
        </w:r>
      </w:hyperlink>
    </w:p>
    <w:p w14:paraId="5F3DC077" w14:textId="5E09C066" w:rsidR="008C7205" w:rsidRDefault="001E7126">
      <w:pPr>
        <w:pStyle w:val="TOC2"/>
        <w:rPr>
          <w:rFonts w:asciiTheme="minorHAnsi" w:eastAsiaTheme="minorEastAsia" w:hAnsiTheme="minorHAnsi" w:cstheme="minorBidi"/>
          <w:noProof/>
          <w:color w:val="auto"/>
        </w:rPr>
      </w:pPr>
      <w:hyperlink w:anchor="_Toc54000840" w:history="1">
        <w:r w:rsidR="008C7205" w:rsidRPr="00434A1E">
          <w:rPr>
            <w:rStyle w:val="Hyperlink"/>
            <w:noProof/>
          </w:rPr>
          <w:t>Funding principles</w:t>
        </w:r>
        <w:r w:rsidR="008C7205">
          <w:rPr>
            <w:noProof/>
            <w:webHidden/>
          </w:rPr>
          <w:tab/>
        </w:r>
        <w:r w:rsidR="008C7205">
          <w:rPr>
            <w:noProof/>
            <w:webHidden/>
          </w:rPr>
          <w:fldChar w:fldCharType="begin"/>
        </w:r>
        <w:r w:rsidR="008C7205">
          <w:rPr>
            <w:noProof/>
            <w:webHidden/>
          </w:rPr>
          <w:instrText xml:space="preserve"> PAGEREF _Toc54000840 \h </w:instrText>
        </w:r>
        <w:r w:rsidR="008C7205">
          <w:rPr>
            <w:noProof/>
            <w:webHidden/>
          </w:rPr>
        </w:r>
        <w:r w:rsidR="008C7205">
          <w:rPr>
            <w:noProof/>
            <w:webHidden/>
          </w:rPr>
          <w:fldChar w:fldCharType="separate"/>
        </w:r>
        <w:r w:rsidR="008C7205">
          <w:rPr>
            <w:noProof/>
            <w:webHidden/>
          </w:rPr>
          <w:t>11</w:t>
        </w:r>
        <w:r w:rsidR="008C7205">
          <w:rPr>
            <w:noProof/>
            <w:webHidden/>
          </w:rPr>
          <w:fldChar w:fldCharType="end"/>
        </w:r>
      </w:hyperlink>
    </w:p>
    <w:p w14:paraId="5F0D7031" w14:textId="7B0A552A" w:rsidR="008C7205" w:rsidRDefault="001E7126">
      <w:pPr>
        <w:pStyle w:val="TOC3"/>
        <w:rPr>
          <w:rFonts w:asciiTheme="minorHAnsi" w:eastAsiaTheme="minorEastAsia" w:hAnsiTheme="minorHAnsi" w:cstheme="minorBidi"/>
          <w:noProof/>
          <w:color w:val="auto"/>
        </w:rPr>
      </w:pPr>
      <w:hyperlink w:anchor="_Toc54000841" w:history="1">
        <w:r w:rsidR="008C7205" w:rsidRPr="00434A1E">
          <w:rPr>
            <w:rStyle w:val="Hyperlink"/>
            <w:noProof/>
          </w:rPr>
          <w:t>Council priorities</w:t>
        </w:r>
        <w:r w:rsidR="008C7205">
          <w:rPr>
            <w:noProof/>
            <w:webHidden/>
          </w:rPr>
          <w:tab/>
        </w:r>
        <w:r w:rsidR="008C7205">
          <w:rPr>
            <w:noProof/>
            <w:webHidden/>
          </w:rPr>
          <w:fldChar w:fldCharType="begin"/>
        </w:r>
        <w:r w:rsidR="008C7205">
          <w:rPr>
            <w:noProof/>
            <w:webHidden/>
          </w:rPr>
          <w:instrText xml:space="preserve"> PAGEREF _Toc54000841 \h </w:instrText>
        </w:r>
        <w:r w:rsidR="008C7205">
          <w:rPr>
            <w:noProof/>
            <w:webHidden/>
          </w:rPr>
        </w:r>
        <w:r w:rsidR="008C7205">
          <w:rPr>
            <w:noProof/>
            <w:webHidden/>
          </w:rPr>
          <w:fldChar w:fldCharType="separate"/>
        </w:r>
        <w:r w:rsidR="008C7205">
          <w:rPr>
            <w:noProof/>
            <w:webHidden/>
          </w:rPr>
          <w:t>11</w:t>
        </w:r>
        <w:r w:rsidR="008C7205">
          <w:rPr>
            <w:noProof/>
            <w:webHidden/>
          </w:rPr>
          <w:fldChar w:fldCharType="end"/>
        </w:r>
      </w:hyperlink>
    </w:p>
    <w:p w14:paraId="2195F546" w14:textId="65FCC780" w:rsidR="008C7205" w:rsidRDefault="001E7126">
      <w:pPr>
        <w:pStyle w:val="TOC3"/>
        <w:rPr>
          <w:rFonts w:asciiTheme="minorHAnsi" w:eastAsiaTheme="minorEastAsia" w:hAnsiTheme="minorHAnsi" w:cstheme="minorBidi"/>
          <w:noProof/>
          <w:color w:val="auto"/>
        </w:rPr>
      </w:pPr>
      <w:hyperlink w:anchor="_Toc54000842" w:history="1">
        <w:r w:rsidR="008C7205" w:rsidRPr="00434A1E">
          <w:rPr>
            <w:rStyle w:val="Hyperlink"/>
            <w:noProof/>
          </w:rPr>
          <w:t>Access and inclusion</w:t>
        </w:r>
        <w:r w:rsidR="008C7205">
          <w:rPr>
            <w:noProof/>
            <w:webHidden/>
          </w:rPr>
          <w:tab/>
        </w:r>
        <w:r w:rsidR="008C7205">
          <w:rPr>
            <w:noProof/>
            <w:webHidden/>
          </w:rPr>
          <w:fldChar w:fldCharType="begin"/>
        </w:r>
        <w:r w:rsidR="008C7205">
          <w:rPr>
            <w:noProof/>
            <w:webHidden/>
          </w:rPr>
          <w:instrText xml:space="preserve"> PAGEREF _Toc54000842 \h </w:instrText>
        </w:r>
        <w:r w:rsidR="008C7205">
          <w:rPr>
            <w:noProof/>
            <w:webHidden/>
          </w:rPr>
        </w:r>
        <w:r w:rsidR="008C7205">
          <w:rPr>
            <w:noProof/>
            <w:webHidden/>
          </w:rPr>
          <w:fldChar w:fldCharType="separate"/>
        </w:r>
        <w:r w:rsidR="008C7205">
          <w:rPr>
            <w:noProof/>
            <w:webHidden/>
          </w:rPr>
          <w:t>11</w:t>
        </w:r>
        <w:r w:rsidR="008C7205">
          <w:rPr>
            <w:noProof/>
            <w:webHidden/>
          </w:rPr>
          <w:fldChar w:fldCharType="end"/>
        </w:r>
      </w:hyperlink>
    </w:p>
    <w:p w14:paraId="10EF405F" w14:textId="34ED4E80" w:rsidR="008C7205" w:rsidRDefault="001E7126">
      <w:pPr>
        <w:pStyle w:val="TOC3"/>
        <w:rPr>
          <w:rFonts w:asciiTheme="minorHAnsi" w:eastAsiaTheme="minorEastAsia" w:hAnsiTheme="minorHAnsi" w:cstheme="minorBidi"/>
          <w:noProof/>
          <w:color w:val="auto"/>
        </w:rPr>
      </w:pPr>
      <w:hyperlink w:anchor="_Toc54000843" w:history="1">
        <w:r w:rsidR="008C7205" w:rsidRPr="00434A1E">
          <w:rPr>
            <w:rStyle w:val="Hyperlink"/>
            <w:noProof/>
          </w:rPr>
          <w:t>Ensuring a child safe City of Port Phillip</w:t>
        </w:r>
        <w:r w:rsidR="008C7205">
          <w:rPr>
            <w:noProof/>
            <w:webHidden/>
          </w:rPr>
          <w:tab/>
        </w:r>
        <w:r w:rsidR="008C7205">
          <w:rPr>
            <w:noProof/>
            <w:webHidden/>
          </w:rPr>
          <w:fldChar w:fldCharType="begin"/>
        </w:r>
        <w:r w:rsidR="008C7205">
          <w:rPr>
            <w:noProof/>
            <w:webHidden/>
          </w:rPr>
          <w:instrText xml:space="preserve"> PAGEREF _Toc54000843 \h </w:instrText>
        </w:r>
        <w:r w:rsidR="008C7205">
          <w:rPr>
            <w:noProof/>
            <w:webHidden/>
          </w:rPr>
        </w:r>
        <w:r w:rsidR="008C7205">
          <w:rPr>
            <w:noProof/>
            <w:webHidden/>
          </w:rPr>
          <w:fldChar w:fldCharType="separate"/>
        </w:r>
        <w:r w:rsidR="008C7205">
          <w:rPr>
            <w:noProof/>
            <w:webHidden/>
          </w:rPr>
          <w:t>11</w:t>
        </w:r>
        <w:r w:rsidR="008C7205">
          <w:rPr>
            <w:noProof/>
            <w:webHidden/>
          </w:rPr>
          <w:fldChar w:fldCharType="end"/>
        </w:r>
      </w:hyperlink>
    </w:p>
    <w:p w14:paraId="458529FE" w14:textId="507C2B1B" w:rsidR="008C7205" w:rsidRDefault="001E7126">
      <w:pPr>
        <w:pStyle w:val="TOC3"/>
        <w:rPr>
          <w:rFonts w:asciiTheme="minorHAnsi" w:eastAsiaTheme="minorEastAsia" w:hAnsiTheme="minorHAnsi" w:cstheme="minorBidi"/>
          <w:noProof/>
          <w:color w:val="auto"/>
        </w:rPr>
      </w:pPr>
      <w:hyperlink w:anchor="_Toc54000844" w:history="1">
        <w:r w:rsidR="008C7205" w:rsidRPr="00434A1E">
          <w:rPr>
            <w:rStyle w:val="Hyperlink"/>
            <w:noProof/>
          </w:rPr>
          <w:t>Sustainability</w:t>
        </w:r>
        <w:r w:rsidR="008C7205">
          <w:rPr>
            <w:noProof/>
            <w:webHidden/>
          </w:rPr>
          <w:tab/>
        </w:r>
        <w:r w:rsidR="008C7205">
          <w:rPr>
            <w:noProof/>
            <w:webHidden/>
          </w:rPr>
          <w:fldChar w:fldCharType="begin"/>
        </w:r>
        <w:r w:rsidR="008C7205">
          <w:rPr>
            <w:noProof/>
            <w:webHidden/>
          </w:rPr>
          <w:instrText xml:space="preserve"> PAGEREF _Toc54000844 \h </w:instrText>
        </w:r>
        <w:r w:rsidR="008C7205">
          <w:rPr>
            <w:noProof/>
            <w:webHidden/>
          </w:rPr>
        </w:r>
        <w:r w:rsidR="008C7205">
          <w:rPr>
            <w:noProof/>
            <w:webHidden/>
          </w:rPr>
          <w:fldChar w:fldCharType="separate"/>
        </w:r>
        <w:r w:rsidR="008C7205">
          <w:rPr>
            <w:noProof/>
            <w:webHidden/>
          </w:rPr>
          <w:t>12</w:t>
        </w:r>
        <w:r w:rsidR="008C7205">
          <w:rPr>
            <w:noProof/>
            <w:webHidden/>
          </w:rPr>
          <w:fldChar w:fldCharType="end"/>
        </w:r>
      </w:hyperlink>
    </w:p>
    <w:p w14:paraId="20A8D8EE" w14:textId="0B9091D5" w:rsidR="008C7205" w:rsidRDefault="001E7126">
      <w:pPr>
        <w:pStyle w:val="TOC3"/>
        <w:rPr>
          <w:rFonts w:asciiTheme="minorHAnsi" w:eastAsiaTheme="minorEastAsia" w:hAnsiTheme="minorHAnsi" w:cstheme="minorBidi"/>
          <w:noProof/>
          <w:color w:val="auto"/>
        </w:rPr>
      </w:pPr>
      <w:hyperlink w:anchor="_Toc54000845" w:history="1">
        <w:r w:rsidR="008C7205" w:rsidRPr="00434A1E">
          <w:rPr>
            <w:rStyle w:val="Hyperlink"/>
            <w:noProof/>
          </w:rPr>
          <w:t>Lobbying</w:t>
        </w:r>
        <w:r w:rsidR="008C7205">
          <w:rPr>
            <w:noProof/>
            <w:webHidden/>
          </w:rPr>
          <w:tab/>
        </w:r>
        <w:r w:rsidR="008C7205">
          <w:rPr>
            <w:noProof/>
            <w:webHidden/>
          </w:rPr>
          <w:fldChar w:fldCharType="begin"/>
        </w:r>
        <w:r w:rsidR="008C7205">
          <w:rPr>
            <w:noProof/>
            <w:webHidden/>
          </w:rPr>
          <w:instrText xml:space="preserve"> PAGEREF _Toc54000845 \h </w:instrText>
        </w:r>
        <w:r w:rsidR="008C7205">
          <w:rPr>
            <w:noProof/>
            <w:webHidden/>
          </w:rPr>
        </w:r>
        <w:r w:rsidR="008C7205">
          <w:rPr>
            <w:noProof/>
            <w:webHidden/>
          </w:rPr>
          <w:fldChar w:fldCharType="separate"/>
        </w:r>
        <w:r w:rsidR="008C7205">
          <w:rPr>
            <w:noProof/>
            <w:webHidden/>
          </w:rPr>
          <w:t>12</w:t>
        </w:r>
        <w:r w:rsidR="008C7205">
          <w:rPr>
            <w:noProof/>
            <w:webHidden/>
          </w:rPr>
          <w:fldChar w:fldCharType="end"/>
        </w:r>
      </w:hyperlink>
    </w:p>
    <w:p w14:paraId="0896EC45" w14:textId="654AF806" w:rsidR="008C7205" w:rsidRDefault="001E7126">
      <w:pPr>
        <w:pStyle w:val="TOC2"/>
        <w:rPr>
          <w:rFonts w:asciiTheme="minorHAnsi" w:eastAsiaTheme="minorEastAsia" w:hAnsiTheme="minorHAnsi" w:cstheme="minorBidi"/>
          <w:noProof/>
          <w:color w:val="auto"/>
        </w:rPr>
      </w:pPr>
      <w:hyperlink w:anchor="_Toc54000846" w:history="1">
        <w:r w:rsidR="008C7205" w:rsidRPr="00434A1E">
          <w:rPr>
            <w:rStyle w:val="Hyperlink"/>
            <w:noProof/>
          </w:rPr>
          <w:t>Checklist: preparing your grant application</w:t>
        </w:r>
        <w:r w:rsidR="008C7205">
          <w:rPr>
            <w:noProof/>
            <w:webHidden/>
          </w:rPr>
          <w:tab/>
        </w:r>
        <w:r w:rsidR="008C7205">
          <w:rPr>
            <w:noProof/>
            <w:webHidden/>
          </w:rPr>
          <w:fldChar w:fldCharType="begin"/>
        </w:r>
        <w:r w:rsidR="008C7205">
          <w:rPr>
            <w:noProof/>
            <w:webHidden/>
          </w:rPr>
          <w:instrText xml:space="preserve"> PAGEREF _Toc54000846 \h </w:instrText>
        </w:r>
        <w:r w:rsidR="008C7205">
          <w:rPr>
            <w:noProof/>
            <w:webHidden/>
          </w:rPr>
        </w:r>
        <w:r w:rsidR="008C7205">
          <w:rPr>
            <w:noProof/>
            <w:webHidden/>
          </w:rPr>
          <w:fldChar w:fldCharType="separate"/>
        </w:r>
        <w:r w:rsidR="008C7205">
          <w:rPr>
            <w:noProof/>
            <w:webHidden/>
          </w:rPr>
          <w:t>13</w:t>
        </w:r>
        <w:r w:rsidR="008C7205">
          <w:rPr>
            <w:noProof/>
            <w:webHidden/>
          </w:rPr>
          <w:fldChar w:fldCharType="end"/>
        </w:r>
      </w:hyperlink>
    </w:p>
    <w:p w14:paraId="20F2C353" w14:textId="55B261BD" w:rsidR="008C7205" w:rsidRDefault="001E7126">
      <w:pPr>
        <w:pStyle w:val="TOC3"/>
        <w:rPr>
          <w:rFonts w:asciiTheme="minorHAnsi" w:eastAsiaTheme="minorEastAsia" w:hAnsiTheme="minorHAnsi" w:cstheme="minorBidi"/>
          <w:noProof/>
          <w:color w:val="auto"/>
        </w:rPr>
      </w:pPr>
      <w:hyperlink w:anchor="_Toc54000847" w:history="1">
        <w:r w:rsidR="008C7205" w:rsidRPr="00434A1E">
          <w:rPr>
            <w:rStyle w:val="Hyperlink"/>
            <w:noProof/>
          </w:rPr>
          <w:t>Stream 1: Get Involved Grant</w:t>
        </w:r>
        <w:r w:rsidR="008C7205">
          <w:rPr>
            <w:noProof/>
            <w:webHidden/>
          </w:rPr>
          <w:tab/>
        </w:r>
        <w:r w:rsidR="008C7205">
          <w:rPr>
            <w:noProof/>
            <w:webHidden/>
          </w:rPr>
          <w:fldChar w:fldCharType="begin"/>
        </w:r>
        <w:r w:rsidR="008C7205">
          <w:rPr>
            <w:noProof/>
            <w:webHidden/>
          </w:rPr>
          <w:instrText xml:space="preserve"> PAGEREF _Toc54000847 \h </w:instrText>
        </w:r>
        <w:r w:rsidR="008C7205">
          <w:rPr>
            <w:noProof/>
            <w:webHidden/>
          </w:rPr>
        </w:r>
        <w:r w:rsidR="008C7205">
          <w:rPr>
            <w:noProof/>
            <w:webHidden/>
          </w:rPr>
          <w:fldChar w:fldCharType="separate"/>
        </w:r>
        <w:r w:rsidR="008C7205">
          <w:rPr>
            <w:noProof/>
            <w:webHidden/>
          </w:rPr>
          <w:t>13</w:t>
        </w:r>
        <w:r w:rsidR="008C7205">
          <w:rPr>
            <w:noProof/>
            <w:webHidden/>
          </w:rPr>
          <w:fldChar w:fldCharType="end"/>
        </w:r>
      </w:hyperlink>
    </w:p>
    <w:p w14:paraId="1C3BF9BB" w14:textId="21D88C88" w:rsidR="008C7205" w:rsidRDefault="001E7126">
      <w:pPr>
        <w:pStyle w:val="TOC3"/>
        <w:rPr>
          <w:rFonts w:asciiTheme="minorHAnsi" w:eastAsiaTheme="minorEastAsia" w:hAnsiTheme="minorHAnsi" w:cstheme="minorBidi"/>
          <w:noProof/>
          <w:color w:val="auto"/>
        </w:rPr>
      </w:pPr>
      <w:hyperlink w:anchor="_Toc54000848" w:history="1">
        <w:r w:rsidR="008C7205" w:rsidRPr="00434A1E">
          <w:rPr>
            <w:rStyle w:val="Hyperlink"/>
            <w:noProof/>
          </w:rPr>
          <w:t>Stream 2: Recreation Programs Grant</w:t>
        </w:r>
        <w:r w:rsidR="008C7205">
          <w:rPr>
            <w:noProof/>
            <w:webHidden/>
          </w:rPr>
          <w:tab/>
        </w:r>
        <w:r w:rsidR="008C7205">
          <w:rPr>
            <w:noProof/>
            <w:webHidden/>
          </w:rPr>
          <w:fldChar w:fldCharType="begin"/>
        </w:r>
        <w:r w:rsidR="008C7205">
          <w:rPr>
            <w:noProof/>
            <w:webHidden/>
          </w:rPr>
          <w:instrText xml:space="preserve"> PAGEREF _Toc54000848 \h </w:instrText>
        </w:r>
        <w:r w:rsidR="008C7205">
          <w:rPr>
            <w:noProof/>
            <w:webHidden/>
          </w:rPr>
        </w:r>
        <w:r w:rsidR="008C7205">
          <w:rPr>
            <w:noProof/>
            <w:webHidden/>
          </w:rPr>
          <w:fldChar w:fldCharType="separate"/>
        </w:r>
        <w:r w:rsidR="008C7205">
          <w:rPr>
            <w:noProof/>
            <w:webHidden/>
          </w:rPr>
          <w:t>14</w:t>
        </w:r>
        <w:r w:rsidR="008C7205">
          <w:rPr>
            <w:noProof/>
            <w:webHidden/>
          </w:rPr>
          <w:fldChar w:fldCharType="end"/>
        </w:r>
      </w:hyperlink>
    </w:p>
    <w:p w14:paraId="43E845B6" w14:textId="4D8B91AE" w:rsidR="008C7205" w:rsidRDefault="001E7126">
      <w:pPr>
        <w:pStyle w:val="TOC2"/>
        <w:rPr>
          <w:rFonts w:asciiTheme="minorHAnsi" w:eastAsiaTheme="minorEastAsia" w:hAnsiTheme="minorHAnsi" w:cstheme="minorBidi"/>
          <w:noProof/>
          <w:color w:val="auto"/>
        </w:rPr>
      </w:pPr>
      <w:hyperlink w:anchor="_Toc54000849" w:history="1">
        <w:r w:rsidR="008C7205" w:rsidRPr="00434A1E">
          <w:rPr>
            <w:rStyle w:val="Hyperlink"/>
            <w:noProof/>
          </w:rPr>
          <w:t>Appendices</w:t>
        </w:r>
        <w:r w:rsidR="008C7205">
          <w:rPr>
            <w:noProof/>
            <w:webHidden/>
          </w:rPr>
          <w:tab/>
        </w:r>
        <w:r w:rsidR="008C7205">
          <w:rPr>
            <w:noProof/>
            <w:webHidden/>
          </w:rPr>
          <w:fldChar w:fldCharType="begin"/>
        </w:r>
        <w:r w:rsidR="008C7205">
          <w:rPr>
            <w:noProof/>
            <w:webHidden/>
          </w:rPr>
          <w:instrText xml:space="preserve"> PAGEREF _Toc54000849 \h </w:instrText>
        </w:r>
        <w:r w:rsidR="008C7205">
          <w:rPr>
            <w:noProof/>
            <w:webHidden/>
          </w:rPr>
        </w:r>
        <w:r w:rsidR="008C7205">
          <w:rPr>
            <w:noProof/>
            <w:webHidden/>
          </w:rPr>
          <w:fldChar w:fldCharType="separate"/>
        </w:r>
        <w:r w:rsidR="008C7205">
          <w:rPr>
            <w:noProof/>
            <w:webHidden/>
          </w:rPr>
          <w:t>15</w:t>
        </w:r>
        <w:r w:rsidR="008C7205">
          <w:rPr>
            <w:noProof/>
            <w:webHidden/>
          </w:rPr>
          <w:fldChar w:fldCharType="end"/>
        </w:r>
      </w:hyperlink>
    </w:p>
    <w:p w14:paraId="40C73B99" w14:textId="2688908F" w:rsidR="008C7205" w:rsidRDefault="001E7126">
      <w:pPr>
        <w:pStyle w:val="TOC3"/>
        <w:rPr>
          <w:rFonts w:asciiTheme="minorHAnsi" w:eastAsiaTheme="minorEastAsia" w:hAnsiTheme="minorHAnsi" w:cstheme="minorBidi"/>
          <w:noProof/>
          <w:color w:val="auto"/>
        </w:rPr>
      </w:pPr>
      <w:hyperlink w:anchor="_Toc54000850" w:history="1">
        <w:r w:rsidR="008C7205" w:rsidRPr="00434A1E">
          <w:rPr>
            <w:rStyle w:val="Hyperlink"/>
            <w:noProof/>
          </w:rPr>
          <w:t>Appendix A - Definitions</w:t>
        </w:r>
        <w:r w:rsidR="008C7205">
          <w:rPr>
            <w:noProof/>
            <w:webHidden/>
          </w:rPr>
          <w:tab/>
        </w:r>
        <w:r w:rsidR="008C7205">
          <w:rPr>
            <w:noProof/>
            <w:webHidden/>
          </w:rPr>
          <w:fldChar w:fldCharType="begin"/>
        </w:r>
        <w:r w:rsidR="008C7205">
          <w:rPr>
            <w:noProof/>
            <w:webHidden/>
          </w:rPr>
          <w:instrText xml:space="preserve"> PAGEREF _Toc54000850 \h </w:instrText>
        </w:r>
        <w:r w:rsidR="008C7205">
          <w:rPr>
            <w:noProof/>
            <w:webHidden/>
          </w:rPr>
        </w:r>
        <w:r w:rsidR="008C7205">
          <w:rPr>
            <w:noProof/>
            <w:webHidden/>
          </w:rPr>
          <w:fldChar w:fldCharType="separate"/>
        </w:r>
        <w:r w:rsidR="008C7205">
          <w:rPr>
            <w:noProof/>
            <w:webHidden/>
          </w:rPr>
          <w:t>15</w:t>
        </w:r>
        <w:r w:rsidR="008C7205">
          <w:rPr>
            <w:noProof/>
            <w:webHidden/>
          </w:rPr>
          <w:fldChar w:fldCharType="end"/>
        </w:r>
      </w:hyperlink>
    </w:p>
    <w:p w14:paraId="36462650" w14:textId="0759063B" w:rsidR="008C7205" w:rsidRDefault="001E7126">
      <w:pPr>
        <w:pStyle w:val="TOC3"/>
        <w:rPr>
          <w:rFonts w:asciiTheme="minorHAnsi" w:eastAsiaTheme="minorEastAsia" w:hAnsiTheme="minorHAnsi" w:cstheme="minorBidi"/>
          <w:noProof/>
          <w:color w:val="auto"/>
        </w:rPr>
      </w:pPr>
      <w:hyperlink w:anchor="_Toc54000851" w:history="1">
        <w:r w:rsidR="008C7205" w:rsidRPr="00434A1E">
          <w:rPr>
            <w:rStyle w:val="Hyperlink"/>
            <w:noProof/>
          </w:rPr>
          <w:t>Appendix B - City of Port Phillip</w:t>
        </w:r>
        <w:r w:rsidR="008C7205">
          <w:rPr>
            <w:noProof/>
            <w:webHidden/>
          </w:rPr>
          <w:tab/>
        </w:r>
        <w:r w:rsidR="008C7205">
          <w:rPr>
            <w:noProof/>
            <w:webHidden/>
          </w:rPr>
          <w:fldChar w:fldCharType="begin"/>
        </w:r>
        <w:r w:rsidR="008C7205">
          <w:rPr>
            <w:noProof/>
            <w:webHidden/>
          </w:rPr>
          <w:instrText xml:space="preserve"> PAGEREF _Toc54000851 \h </w:instrText>
        </w:r>
        <w:r w:rsidR="008C7205">
          <w:rPr>
            <w:noProof/>
            <w:webHidden/>
          </w:rPr>
        </w:r>
        <w:r w:rsidR="008C7205">
          <w:rPr>
            <w:noProof/>
            <w:webHidden/>
          </w:rPr>
          <w:fldChar w:fldCharType="separate"/>
        </w:r>
        <w:r w:rsidR="008C7205">
          <w:rPr>
            <w:noProof/>
            <w:webHidden/>
          </w:rPr>
          <w:t>17</w:t>
        </w:r>
        <w:r w:rsidR="008C7205">
          <w:rPr>
            <w:noProof/>
            <w:webHidden/>
          </w:rPr>
          <w:fldChar w:fldCharType="end"/>
        </w:r>
      </w:hyperlink>
    </w:p>
    <w:p w14:paraId="3C389AB6" w14:textId="404DF79D" w:rsidR="008C7205" w:rsidRDefault="001E7126">
      <w:pPr>
        <w:pStyle w:val="TOC3"/>
        <w:rPr>
          <w:rFonts w:asciiTheme="minorHAnsi" w:eastAsiaTheme="minorEastAsia" w:hAnsiTheme="minorHAnsi" w:cstheme="minorBidi"/>
          <w:noProof/>
          <w:color w:val="auto"/>
        </w:rPr>
      </w:pPr>
      <w:hyperlink w:anchor="_Toc54000852" w:history="1">
        <w:r w:rsidR="008C7205" w:rsidRPr="00434A1E">
          <w:rPr>
            <w:rStyle w:val="Hyperlink"/>
            <w:noProof/>
          </w:rPr>
          <w:t>Appendix C</w:t>
        </w:r>
        <w:r w:rsidR="008C7205">
          <w:rPr>
            <w:noProof/>
            <w:webHidden/>
          </w:rPr>
          <w:tab/>
        </w:r>
        <w:r w:rsidR="008C7205">
          <w:rPr>
            <w:noProof/>
            <w:webHidden/>
          </w:rPr>
          <w:fldChar w:fldCharType="begin"/>
        </w:r>
        <w:r w:rsidR="008C7205">
          <w:rPr>
            <w:noProof/>
            <w:webHidden/>
          </w:rPr>
          <w:instrText xml:space="preserve"> PAGEREF _Toc54000852 \h </w:instrText>
        </w:r>
        <w:r w:rsidR="008C7205">
          <w:rPr>
            <w:noProof/>
            <w:webHidden/>
          </w:rPr>
        </w:r>
        <w:r w:rsidR="008C7205">
          <w:rPr>
            <w:noProof/>
            <w:webHidden/>
          </w:rPr>
          <w:fldChar w:fldCharType="separate"/>
        </w:r>
        <w:r w:rsidR="008C7205">
          <w:rPr>
            <w:noProof/>
            <w:webHidden/>
          </w:rPr>
          <w:t>18</w:t>
        </w:r>
        <w:r w:rsidR="008C7205">
          <w:rPr>
            <w:noProof/>
            <w:webHidden/>
          </w:rPr>
          <w:fldChar w:fldCharType="end"/>
        </w:r>
      </w:hyperlink>
    </w:p>
    <w:p w14:paraId="69A06DE8" w14:textId="7C4BF165" w:rsidR="005833BC" w:rsidRPr="00620F2A" w:rsidRDefault="00D224DE" w:rsidP="005833BC">
      <w:pPr>
        <w:pStyle w:val="Heading2"/>
      </w:pPr>
      <w:r w:rsidRPr="00620F2A">
        <w:fldChar w:fldCharType="end"/>
      </w:r>
      <w:r w:rsidR="005833BC" w:rsidRPr="00620F2A">
        <w:t xml:space="preserve"> </w:t>
      </w:r>
    </w:p>
    <w:p w14:paraId="3433BBC5" w14:textId="62DF9F49" w:rsidR="001A3AAA" w:rsidRPr="00620F2A" w:rsidRDefault="00D224DE" w:rsidP="00B35173">
      <w:pPr>
        <w:pStyle w:val="NoSpacing"/>
      </w:pPr>
      <w:r w:rsidRPr="00620F2A">
        <w:br w:type="page"/>
      </w:r>
    </w:p>
    <w:p w14:paraId="62E2A8AC" w14:textId="77777777" w:rsidR="007670EC" w:rsidRDefault="007670EC" w:rsidP="00706E38">
      <w:pPr>
        <w:pStyle w:val="Heading2"/>
      </w:pPr>
      <w:bookmarkStart w:id="10" w:name="_Toc54000827"/>
      <w:r>
        <w:lastRenderedPageBreak/>
        <w:t>Introduction</w:t>
      </w:r>
      <w:bookmarkEnd w:id="10"/>
    </w:p>
    <w:p w14:paraId="6BE6738C" w14:textId="4E95F4C2" w:rsidR="00337762" w:rsidRDefault="00337762" w:rsidP="007670EC">
      <w:r>
        <w:t xml:space="preserve">Youth Access Grants are open to increase access to recreational activities for young people aged 12 to 18 years in Port Phillip. </w:t>
      </w:r>
    </w:p>
    <w:p w14:paraId="33D34F3A" w14:textId="58801DFC" w:rsidR="002B6F34" w:rsidRDefault="007670EC" w:rsidP="007670EC">
      <w:r>
        <w:t xml:space="preserve">The Youth Access Grants Program 2020/22 has been developed in response to research and community consultation by City of Port Phillip, in order to address shortages of free or low-cost recreational options for young people. </w:t>
      </w:r>
    </w:p>
    <w:p w14:paraId="36D3065B" w14:textId="09E0510F" w:rsidR="007670EC" w:rsidRDefault="00706E38" w:rsidP="00706E38">
      <w:pPr>
        <w:pStyle w:val="Heading3"/>
      </w:pPr>
      <w:bookmarkStart w:id="11" w:name="_Toc54000828"/>
      <w:r>
        <w:t>The n</w:t>
      </w:r>
      <w:r w:rsidR="007670EC">
        <w:t>eeds and interests of young people living in Port Phillip</w:t>
      </w:r>
      <w:bookmarkEnd w:id="11"/>
      <w:r w:rsidR="007670EC">
        <w:t xml:space="preserve"> </w:t>
      </w:r>
    </w:p>
    <w:p w14:paraId="58A79AC9" w14:textId="1F883905" w:rsidR="007670EC" w:rsidRDefault="007670EC" w:rsidP="007670EC">
      <w:r>
        <w:t xml:space="preserve">There are </w:t>
      </w:r>
      <w:r w:rsidR="00337762">
        <w:t xml:space="preserve">more than </w:t>
      </w:r>
      <w:r>
        <w:t xml:space="preserve">3,300 young people aged 12 to 17 in the City of Port Phillip. This population is increasing and is predicted to grow by 52 percent by 2041 (compared to 2016 census data). </w:t>
      </w:r>
    </w:p>
    <w:p w14:paraId="30EA0708" w14:textId="77777777" w:rsidR="007670EC" w:rsidRDefault="007670EC" w:rsidP="007670EC">
      <w:r>
        <w:t xml:space="preserve">Consultation with young people highlighted that they would like increased access to free or low-cost recreation including: </w:t>
      </w:r>
    </w:p>
    <w:p w14:paraId="1D1C9AF8" w14:textId="6910486E" w:rsidR="007670EC" w:rsidRDefault="007670EC" w:rsidP="00630409">
      <w:pPr>
        <w:pStyle w:val="NormalBullets"/>
      </w:pPr>
      <w:r w:rsidRPr="00706E38">
        <w:rPr>
          <w:b/>
          <w:bCs/>
        </w:rPr>
        <w:t>sporting activities</w:t>
      </w:r>
      <w:r>
        <w:t xml:space="preserve"> such as training, lessons, competitions and organised group sports </w:t>
      </w:r>
    </w:p>
    <w:p w14:paraId="6D71E67F" w14:textId="6A0A3D36" w:rsidR="007670EC" w:rsidRDefault="007670EC" w:rsidP="00630409">
      <w:pPr>
        <w:pStyle w:val="NormalBullets"/>
      </w:pPr>
      <w:r w:rsidRPr="00706E38">
        <w:rPr>
          <w:b/>
          <w:bCs/>
        </w:rPr>
        <w:t>creative expression</w:t>
      </w:r>
      <w:r>
        <w:t xml:space="preserve"> including theatre, acting groups and art lessons</w:t>
      </w:r>
    </w:p>
    <w:p w14:paraId="45A47E23" w14:textId="09777343" w:rsidR="007670EC" w:rsidRDefault="007670EC" w:rsidP="00630409">
      <w:pPr>
        <w:pStyle w:val="NormalBullets"/>
      </w:pPr>
      <w:r w:rsidRPr="00706E38">
        <w:rPr>
          <w:b/>
          <w:bCs/>
        </w:rPr>
        <w:t>social activities</w:t>
      </w:r>
      <w:r>
        <w:t xml:space="preserve"> including meditation, mindfulness, environmental activities, movie clubs, group coding and gaming sessions. </w:t>
      </w:r>
    </w:p>
    <w:p w14:paraId="5287E30C" w14:textId="77777777" w:rsidR="007670EC" w:rsidRDefault="007670EC" w:rsidP="007670EC">
      <w:r>
        <w:t xml:space="preserve">Young people also expressed interest in activities which help others, strengthen individual positive identity, reduce social isolation and protect the environment. </w:t>
      </w:r>
    </w:p>
    <w:p w14:paraId="421E3780" w14:textId="77777777" w:rsidR="007670EC" w:rsidRDefault="007670EC" w:rsidP="00706E38">
      <w:pPr>
        <w:pStyle w:val="Heading3"/>
      </w:pPr>
      <w:bookmarkStart w:id="12" w:name="_Toc54000829"/>
      <w:r>
        <w:t>Purpose of the program</w:t>
      </w:r>
      <w:bookmarkEnd w:id="12"/>
      <w:r>
        <w:t xml:space="preserve"> </w:t>
      </w:r>
    </w:p>
    <w:p w14:paraId="1C43F1CF" w14:textId="77777777" w:rsidR="007670EC" w:rsidRDefault="007670EC" w:rsidP="007670EC">
      <w:r>
        <w:t xml:space="preserve">The Youth Access Grants Program will: </w:t>
      </w:r>
    </w:p>
    <w:p w14:paraId="75A05089" w14:textId="52A0DBED" w:rsidR="007670EC" w:rsidRDefault="007670EC" w:rsidP="00630409">
      <w:pPr>
        <w:pStyle w:val="NormalBullets"/>
      </w:pPr>
      <w:r>
        <w:t>provide accessible and inclusive recreational opportunities for young people aged 12 to 18 in the City of Port Phillip</w:t>
      </w:r>
    </w:p>
    <w:p w14:paraId="223E9CC5" w14:textId="5939DB7D" w:rsidR="00706E38" w:rsidRDefault="007670EC" w:rsidP="00630409">
      <w:pPr>
        <w:pStyle w:val="NormalBullets"/>
      </w:pPr>
      <w:r>
        <w:t>enable young people to build social connections and a positive sense of self.</w:t>
      </w:r>
      <w:r w:rsidR="00706E38">
        <w:br w:type="page"/>
      </w:r>
    </w:p>
    <w:p w14:paraId="5710F4ED" w14:textId="71F17EA1" w:rsidR="007670EC" w:rsidRDefault="007670EC" w:rsidP="00706E38">
      <w:pPr>
        <w:pStyle w:val="Heading2"/>
      </w:pPr>
      <w:bookmarkStart w:id="13" w:name="_Toc54000830"/>
      <w:r>
        <w:lastRenderedPageBreak/>
        <w:t>Funding streams</w:t>
      </w:r>
      <w:bookmarkEnd w:id="13"/>
      <w:r>
        <w:t xml:space="preserve"> </w:t>
      </w:r>
    </w:p>
    <w:p w14:paraId="40910D40" w14:textId="70D07676" w:rsidR="007670EC" w:rsidRDefault="007670EC" w:rsidP="007670EC">
      <w:r>
        <w:t>There are two funding streams available through the Youth Access Grants Program</w:t>
      </w:r>
      <w:r w:rsidR="00706E38">
        <w:t>.</w:t>
      </w:r>
      <w:r>
        <w:t xml:space="preserve"> </w:t>
      </w:r>
    </w:p>
    <w:p w14:paraId="534F9852" w14:textId="7DCF85AC" w:rsidR="00706E38" w:rsidRPr="00D421E5" w:rsidRDefault="00706E38" w:rsidP="00706E38">
      <w:pPr>
        <w:pStyle w:val="Caption"/>
        <w:rPr>
          <w:rFonts w:eastAsiaTheme="minorEastAsia"/>
          <w:color w:val="auto"/>
          <w:lang w:eastAsia="en-AU"/>
        </w:rPr>
      </w:pPr>
      <w:bookmarkStart w:id="14" w:name="_Toc51618643"/>
      <w:r>
        <w:t xml:space="preserve">Table </w:t>
      </w:r>
      <w:r w:rsidR="001E7126">
        <w:fldChar w:fldCharType="begin"/>
      </w:r>
      <w:r w:rsidR="001E7126">
        <w:instrText xml:space="preserve"> SEQ Table \* ARABIC </w:instrText>
      </w:r>
      <w:r w:rsidR="001E7126">
        <w:fldChar w:fldCharType="separate"/>
      </w:r>
      <w:r w:rsidR="006C3343">
        <w:rPr>
          <w:noProof/>
        </w:rPr>
        <w:t>1</w:t>
      </w:r>
      <w:r w:rsidR="001E7126">
        <w:rPr>
          <w:noProof/>
        </w:rPr>
        <w:fldChar w:fldCharType="end"/>
      </w:r>
      <w:r w:rsidR="003B6584">
        <w:t xml:space="preserve"> Youth Access Grants </w:t>
      </w:r>
      <w:r>
        <w:t>Program funding streams</w:t>
      </w:r>
      <w:bookmarkEnd w:id="14"/>
    </w:p>
    <w:tbl>
      <w:tblPr>
        <w:tblStyle w:val="ListTable2-Accent511"/>
        <w:tblW w:w="5001" w:type="pct"/>
        <w:tblLook w:val="04A0" w:firstRow="1" w:lastRow="0" w:firstColumn="1" w:lastColumn="0" w:noHBand="0" w:noVBand="1"/>
        <w:tblDescription w:val="Funding streams, purpose and the maximum amount."/>
      </w:tblPr>
      <w:tblGrid>
        <w:gridCol w:w="2502"/>
        <w:gridCol w:w="4729"/>
        <w:gridCol w:w="2409"/>
      </w:tblGrid>
      <w:tr w:rsidR="00706E38" w:rsidRPr="00620F2A" w14:paraId="7DA4DD35" w14:textId="77777777" w:rsidTr="00754C3A">
        <w:trPr>
          <w:cnfStyle w:val="100000000000" w:firstRow="1" w:lastRow="0" w:firstColumn="0" w:lastColumn="0" w:oddVBand="0" w:evenVBand="0" w:oddHBand="0" w:evenHBand="0" w:firstRowFirstColumn="0" w:firstRowLastColumn="0" w:lastRowFirstColumn="0" w:lastRowLastColumn="0"/>
          <w:trHeight w:val="448"/>
          <w:tblHeader/>
        </w:trPr>
        <w:tc>
          <w:tcPr>
            <w:cnfStyle w:val="001000000000" w:firstRow="0" w:lastRow="0" w:firstColumn="1" w:lastColumn="0" w:oddVBand="0" w:evenVBand="0" w:oddHBand="0" w:evenHBand="0" w:firstRowFirstColumn="0" w:firstRowLastColumn="0" w:lastRowFirstColumn="0" w:lastRowLastColumn="0"/>
            <w:tcW w:w="2502" w:type="dxa"/>
            <w:shd w:val="clear" w:color="auto" w:fill="000000" w:themeFill="text1"/>
          </w:tcPr>
          <w:p w14:paraId="2F937315" w14:textId="77777777" w:rsidR="00706E38" w:rsidRPr="00E96F4C" w:rsidRDefault="00706E38" w:rsidP="00706E38">
            <w:pPr>
              <w:spacing w:before="120" w:after="120"/>
              <w:rPr>
                <w:color w:val="FFFFFF" w:themeColor="background1"/>
              </w:rPr>
            </w:pPr>
            <w:r w:rsidRPr="00E96F4C">
              <w:rPr>
                <w:color w:val="FFFFFF" w:themeColor="background1"/>
              </w:rPr>
              <w:t>Funding stream</w:t>
            </w:r>
          </w:p>
        </w:tc>
        <w:tc>
          <w:tcPr>
            <w:tcW w:w="4729" w:type="dxa"/>
            <w:shd w:val="clear" w:color="auto" w:fill="000000" w:themeFill="text1"/>
          </w:tcPr>
          <w:p w14:paraId="46B2B8AE" w14:textId="77777777" w:rsidR="00706E38" w:rsidRPr="00E96F4C" w:rsidRDefault="00706E38" w:rsidP="00706E38">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E96F4C">
              <w:rPr>
                <w:color w:val="FFFFFF" w:themeColor="background1"/>
              </w:rPr>
              <w:t>Purpose</w:t>
            </w:r>
          </w:p>
        </w:tc>
        <w:tc>
          <w:tcPr>
            <w:tcW w:w="2409" w:type="dxa"/>
            <w:shd w:val="clear" w:color="auto" w:fill="000000" w:themeFill="text1"/>
          </w:tcPr>
          <w:p w14:paraId="5163D310" w14:textId="77777777" w:rsidR="00706E38" w:rsidRPr="00E96F4C" w:rsidRDefault="00706E38" w:rsidP="00706E38">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E96F4C">
              <w:rPr>
                <w:color w:val="FFFFFF" w:themeColor="background1"/>
              </w:rPr>
              <w:t>Maximum amount</w:t>
            </w:r>
          </w:p>
        </w:tc>
      </w:tr>
      <w:tr w:rsidR="00706E38" w:rsidRPr="00620F2A" w14:paraId="19F7CD8C" w14:textId="77777777" w:rsidTr="00754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14:paraId="38C736A3" w14:textId="77777777" w:rsidR="00706E38" w:rsidRPr="00D64731" w:rsidRDefault="00706E38" w:rsidP="00754C3A">
            <w:pPr>
              <w:spacing w:before="120" w:after="120"/>
              <w:rPr>
                <w:b w:val="0"/>
                <w:bCs w:val="0"/>
              </w:rPr>
            </w:pPr>
            <w:r>
              <w:t>Get Involved</w:t>
            </w:r>
            <w:r w:rsidRPr="00D64731">
              <w:t xml:space="preserve"> </w:t>
            </w:r>
          </w:p>
        </w:tc>
        <w:tc>
          <w:tcPr>
            <w:tcW w:w="4729" w:type="dxa"/>
          </w:tcPr>
          <w:p w14:paraId="4D87D2C5" w14:textId="77777777" w:rsidR="00706E38" w:rsidRPr="00D64731" w:rsidRDefault="00706E38" w:rsidP="00754C3A">
            <w:pPr>
              <w:spacing w:before="120" w:after="120"/>
              <w:cnfStyle w:val="000000100000" w:firstRow="0" w:lastRow="0" w:firstColumn="0" w:lastColumn="0" w:oddVBand="0" w:evenVBand="0" w:oddHBand="1" w:evenHBand="0" w:firstRowFirstColumn="0" w:firstRowLastColumn="0" w:lastRowFirstColumn="0" w:lastRowLastColumn="0"/>
            </w:pPr>
            <w:r w:rsidRPr="003F47B5">
              <w:t>Funding for a young person aged 12 to 18 years who does not have financial means to participate in recreational activities.</w:t>
            </w:r>
            <w:r w:rsidRPr="002130AE">
              <w:rPr>
                <w:color w:val="000000"/>
              </w:rPr>
              <w:t xml:space="preserve"> </w:t>
            </w:r>
          </w:p>
        </w:tc>
        <w:tc>
          <w:tcPr>
            <w:tcW w:w="2409" w:type="dxa"/>
          </w:tcPr>
          <w:p w14:paraId="6EADBB50" w14:textId="77777777" w:rsidR="00706E38" w:rsidRPr="00D64731" w:rsidRDefault="00706E38" w:rsidP="00754C3A">
            <w:pPr>
              <w:spacing w:before="120" w:after="120"/>
              <w:cnfStyle w:val="000000100000" w:firstRow="0" w:lastRow="0" w:firstColumn="0" w:lastColumn="0" w:oddVBand="0" w:evenVBand="0" w:oddHBand="1" w:evenHBand="0" w:firstRowFirstColumn="0" w:firstRowLastColumn="0" w:lastRowFirstColumn="0" w:lastRowLastColumn="0"/>
            </w:pPr>
            <w:r w:rsidRPr="00D64731">
              <w:t xml:space="preserve">Up to $500 </w:t>
            </w:r>
          </w:p>
        </w:tc>
      </w:tr>
      <w:tr w:rsidR="00706E38" w:rsidRPr="00B35173" w14:paraId="03FEF122" w14:textId="77777777" w:rsidTr="00754C3A">
        <w:tc>
          <w:tcPr>
            <w:cnfStyle w:val="001000000000" w:firstRow="0" w:lastRow="0" w:firstColumn="1" w:lastColumn="0" w:oddVBand="0" w:evenVBand="0" w:oddHBand="0" w:evenHBand="0" w:firstRowFirstColumn="0" w:firstRowLastColumn="0" w:lastRowFirstColumn="0" w:lastRowLastColumn="0"/>
            <w:tcW w:w="2502" w:type="dxa"/>
          </w:tcPr>
          <w:p w14:paraId="52953379" w14:textId="77777777" w:rsidR="00706E38" w:rsidRPr="00D64731" w:rsidRDefault="00706E38" w:rsidP="00754C3A">
            <w:pPr>
              <w:spacing w:before="120" w:after="120"/>
              <w:rPr>
                <w:b w:val="0"/>
                <w:bCs w:val="0"/>
              </w:rPr>
            </w:pPr>
            <w:r>
              <w:t>Recreation P</w:t>
            </w:r>
            <w:r w:rsidRPr="00D64731">
              <w:t xml:space="preserve">rograms </w:t>
            </w:r>
          </w:p>
        </w:tc>
        <w:tc>
          <w:tcPr>
            <w:tcW w:w="4729" w:type="dxa"/>
          </w:tcPr>
          <w:p w14:paraId="40E48AF7" w14:textId="77777777" w:rsidR="00706E38" w:rsidRPr="00D64731" w:rsidRDefault="00706E38" w:rsidP="00754C3A">
            <w:pPr>
              <w:spacing w:before="120" w:after="120"/>
              <w:cnfStyle w:val="000000000000" w:firstRow="0" w:lastRow="0" w:firstColumn="0" w:lastColumn="0" w:oddVBand="0" w:evenVBand="0" w:oddHBand="0" w:evenHBand="0" w:firstRowFirstColumn="0" w:firstRowLastColumn="0" w:lastRowFirstColumn="0" w:lastRowLastColumn="0"/>
            </w:pPr>
            <w:r w:rsidRPr="003F47B5">
              <w:t xml:space="preserve">Funding for organisations to provide recreation programs for young people aged 12 to 18 years. </w:t>
            </w:r>
          </w:p>
        </w:tc>
        <w:tc>
          <w:tcPr>
            <w:tcW w:w="2409" w:type="dxa"/>
          </w:tcPr>
          <w:p w14:paraId="1AB3EFB0" w14:textId="77777777" w:rsidR="00706E38" w:rsidRPr="00D64731" w:rsidRDefault="00706E38" w:rsidP="00754C3A">
            <w:pPr>
              <w:spacing w:before="120" w:after="120"/>
              <w:cnfStyle w:val="000000000000" w:firstRow="0" w:lastRow="0" w:firstColumn="0" w:lastColumn="0" w:oddVBand="0" w:evenVBand="0" w:oddHBand="0" w:evenHBand="0" w:firstRowFirstColumn="0" w:firstRowLastColumn="0" w:lastRowFirstColumn="0" w:lastRowLastColumn="0"/>
            </w:pPr>
            <w:r w:rsidRPr="00D64731">
              <w:t xml:space="preserve">Up to $20,000 </w:t>
            </w:r>
          </w:p>
        </w:tc>
      </w:tr>
    </w:tbl>
    <w:p w14:paraId="05780618" w14:textId="77777777" w:rsidR="00706E38" w:rsidRDefault="00706E38" w:rsidP="00706E38">
      <w:pPr>
        <w:pStyle w:val="Heading3"/>
      </w:pPr>
      <w:bookmarkStart w:id="15" w:name="_Toc54000831"/>
      <w:r>
        <w:t>Stream 1: Get Involved Grant</w:t>
      </w:r>
      <w:bookmarkEnd w:id="15"/>
      <w:r>
        <w:t xml:space="preserve"> </w:t>
      </w:r>
    </w:p>
    <w:p w14:paraId="688E8C66" w14:textId="77777777" w:rsidR="00706E38" w:rsidRDefault="00706E38" w:rsidP="00706E38">
      <w:r>
        <w:t xml:space="preserve">Get Involved funding provides up to $500 for a young person aged 12 to 18 years who does not have the financial means to participate in recreational activities. </w:t>
      </w:r>
    </w:p>
    <w:p w14:paraId="3FAD2269" w14:textId="77777777" w:rsidR="00706E38" w:rsidRDefault="00706E38" w:rsidP="00706E38">
      <w:r>
        <w:t xml:space="preserve">This stream has a brief application and approval process. The total funding pool available is $5,000. </w:t>
      </w:r>
    </w:p>
    <w:p w14:paraId="700DEB8F" w14:textId="4A00AF84" w:rsidR="00706E38" w:rsidRDefault="00706E38" w:rsidP="00706E38">
      <w:r>
        <w:t xml:space="preserve">Funding goes directly to the organisation </w:t>
      </w:r>
      <w:r w:rsidR="00337762">
        <w:t>that</w:t>
      </w:r>
      <w:r>
        <w:t xml:space="preserve"> applied on behalf of the young person and not the individual or family. For example, a school would receive the grant to fund a young person to participate in a camp. </w:t>
      </w:r>
    </w:p>
    <w:p w14:paraId="6112CFD9" w14:textId="77777777" w:rsidR="00706E38" w:rsidRDefault="00706E38" w:rsidP="00706E38">
      <w:pPr>
        <w:pStyle w:val="Heading4"/>
      </w:pPr>
      <w:r>
        <w:t xml:space="preserve">Who can apply? </w:t>
      </w:r>
    </w:p>
    <w:p w14:paraId="29BC9E43" w14:textId="77777777" w:rsidR="00706E38" w:rsidRDefault="00706E38" w:rsidP="00706E38">
      <w:r>
        <w:t xml:space="preserve">An organisation can apply on behalf of the young person, parent or guardian. The organisation will manage the funds. </w:t>
      </w:r>
    </w:p>
    <w:p w14:paraId="44102F6E" w14:textId="77777777" w:rsidR="00706E38" w:rsidRDefault="00706E38" w:rsidP="00706E38">
      <w:pPr>
        <w:pStyle w:val="Heading4"/>
      </w:pPr>
      <w:r>
        <w:t xml:space="preserve">What can the funding be used for? </w:t>
      </w:r>
    </w:p>
    <w:p w14:paraId="3BF8668D" w14:textId="32D0FDB6" w:rsidR="00706E38" w:rsidRDefault="00706E38" w:rsidP="00706E38">
      <w:r>
        <w:t xml:space="preserve">Small grants of up to $500 </w:t>
      </w:r>
      <w:r w:rsidR="00337762">
        <w:t xml:space="preserve">are available </w:t>
      </w:r>
      <w:r>
        <w:t xml:space="preserve">to support individuals aged 12 to 18 years in a recreational activity. </w:t>
      </w:r>
    </w:p>
    <w:p w14:paraId="43831606" w14:textId="77777777" w:rsidR="00706E38" w:rsidRDefault="00706E38" w:rsidP="00706E38">
      <w:r>
        <w:t xml:space="preserve">This may include: </w:t>
      </w:r>
    </w:p>
    <w:p w14:paraId="16F0C61D" w14:textId="3CF9C916" w:rsidR="00706E38" w:rsidRDefault="00706E38" w:rsidP="00630409">
      <w:pPr>
        <w:pStyle w:val="NormalBullets"/>
      </w:pPr>
      <w:r>
        <w:t>school camps</w:t>
      </w:r>
    </w:p>
    <w:p w14:paraId="2DED0986" w14:textId="240D455F" w:rsidR="00706E38" w:rsidRDefault="00706E38" w:rsidP="00630409">
      <w:pPr>
        <w:pStyle w:val="NormalBullets"/>
      </w:pPr>
      <w:r>
        <w:t xml:space="preserve">sporting activities </w:t>
      </w:r>
    </w:p>
    <w:p w14:paraId="79931BFD" w14:textId="0AD1F6AF" w:rsidR="00706E38" w:rsidRDefault="00706E38" w:rsidP="00630409">
      <w:pPr>
        <w:pStyle w:val="NormalBullets"/>
      </w:pPr>
      <w:r>
        <w:t>creative expression</w:t>
      </w:r>
    </w:p>
    <w:p w14:paraId="1BA5AF99" w14:textId="4534AB20" w:rsidR="00706E38" w:rsidRDefault="00706E38" w:rsidP="00630409">
      <w:pPr>
        <w:pStyle w:val="NormalBullets"/>
      </w:pPr>
      <w:r>
        <w:t xml:space="preserve">social activities. </w:t>
      </w:r>
    </w:p>
    <w:p w14:paraId="3E4E4FA2" w14:textId="77777777" w:rsidR="00706E38" w:rsidRDefault="00706E38" w:rsidP="00706E38">
      <w:pPr>
        <w:pStyle w:val="Heading4"/>
      </w:pPr>
      <w:r>
        <w:t xml:space="preserve">Eligibility </w:t>
      </w:r>
    </w:p>
    <w:p w14:paraId="5D51C587" w14:textId="77777777" w:rsidR="00706E38" w:rsidRDefault="00706E38" w:rsidP="00706E38">
      <w:r>
        <w:t xml:space="preserve">The participant must be between the age of 12 to 18 and live in the City of Port Phillip. </w:t>
      </w:r>
    </w:p>
    <w:p w14:paraId="2513B76B" w14:textId="77777777" w:rsidR="00706E38" w:rsidRDefault="00706E38" w:rsidP="00706E38">
      <w:pPr>
        <w:pStyle w:val="Heading4"/>
      </w:pPr>
      <w:r>
        <w:lastRenderedPageBreak/>
        <w:t xml:space="preserve">Assessment criteria </w:t>
      </w:r>
    </w:p>
    <w:p w14:paraId="00704284" w14:textId="77777777" w:rsidR="00706E38" w:rsidRDefault="00706E38" w:rsidP="00706E38">
      <w:r>
        <w:t xml:space="preserve">Submissions will be assessed by a panel. Applications will be assessed against the following criteria: </w:t>
      </w:r>
    </w:p>
    <w:p w14:paraId="4D9ABF2D" w14:textId="77777777" w:rsidR="005833BC" w:rsidRDefault="00706E38" w:rsidP="001813CB">
      <w:pPr>
        <w:pStyle w:val="BodyBold"/>
        <w:ind w:left="420"/>
      </w:pPr>
      <w:r w:rsidRPr="00706E38">
        <w:t>Suitable purpose for application (weighting 40 per cent)</w:t>
      </w:r>
      <w:r w:rsidR="005833BC">
        <w:t xml:space="preserve"> </w:t>
      </w:r>
    </w:p>
    <w:p w14:paraId="38847A60" w14:textId="67AF49CF" w:rsidR="005833BC" w:rsidRDefault="001971F3" w:rsidP="00630409">
      <w:pPr>
        <w:pStyle w:val="NormalBullets"/>
      </w:pPr>
      <w:r>
        <w:t>W</w:t>
      </w:r>
      <w:r w:rsidR="00706E38">
        <w:t>hat are the benefits for the young person?</w:t>
      </w:r>
    </w:p>
    <w:p w14:paraId="02F9D80B" w14:textId="77777777" w:rsidR="005833BC" w:rsidRDefault="00706E38" w:rsidP="001813CB">
      <w:pPr>
        <w:pStyle w:val="BodyBold"/>
        <w:ind w:left="420"/>
      </w:pPr>
      <w:r w:rsidRPr="00706E38">
        <w:rPr>
          <w:bCs/>
        </w:rPr>
        <w:t>Young people experiencing financial disadvantage (weighting 40 per cent)</w:t>
      </w:r>
      <w:r w:rsidR="005833BC">
        <w:t xml:space="preserve"> </w:t>
      </w:r>
    </w:p>
    <w:p w14:paraId="6F2E536B" w14:textId="4ECC7618" w:rsidR="00706E38" w:rsidRDefault="005833BC" w:rsidP="001813CB">
      <w:pPr>
        <w:ind w:left="420"/>
      </w:pPr>
      <w:r>
        <w:t>A</w:t>
      </w:r>
      <w:r w:rsidR="00706E38" w:rsidRPr="005833BC">
        <w:t>pplications will be prioritised if they cater for young people</w:t>
      </w:r>
      <w:r w:rsidR="00604795">
        <w:t xml:space="preserve"> who are</w:t>
      </w:r>
      <w:r w:rsidR="00706E38" w:rsidRPr="005833BC">
        <w:t xml:space="preserve">: </w:t>
      </w:r>
    </w:p>
    <w:p w14:paraId="5F43329F" w14:textId="0C19B9EE" w:rsidR="00706E38" w:rsidRDefault="00706E38" w:rsidP="00630409">
      <w:pPr>
        <w:pStyle w:val="NormalBullets"/>
      </w:pPr>
      <w:r>
        <w:t>living in social housing</w:t>
      </w:r>
    </w:p>
    <w:p w14:paraId="2FF9D641" w14:textId="4AAF6AA2" w:rsidR="00706E38" w:rsidRDefault="00604795" w:rsidP="00630409">
      <w:pPr>
        <w:pStyle w:val="NormalBullets"/>
      </w:pPr>
      <w:r>
        <w:t xml:space="preserve">from </w:t>
      </w:r>
      <w:r w:rsidR="00706E38">
        <w:t xml:space="preserve">Aboriginal and Torres Strait Islander </w:t>
      </w:r>
      <w:r>
        <w:t>backgrounds</w:t>
      </w:r>
    </w:p>
    <w:p w14:paraId="1E9D42F3" w14:textId="2C503035" w:rsidR="00706E38" w:rsidRDefault="00604795" w:rsidP="00630409">
      <w:pPr>
        <w:pStyle w:val="NormalBullets"/>
      </w:pPr>
      <w:r>
        <w:t xml:space="preserve">from </w:t>
      </w:r>
      <w:proofErr w:type="spellStart"/>
      <w:r w:rsidR="00706E38">
        <w:t>CALD</w:t>
      </w:r>
      <w:proofErr w:type="spellEnd"/>
      <w:r w:rsidR="00706E38">
        <w:t xml:space="preserve"> backgrounds</w:t>
      </w:r>
    </w:p>
    <w:p w14:paraId="121E14C2" w14:textId="53730F37" w:rsidR="00706E38" w:rsidRDefault="00706E38" w:rsidP="00630409">
      <w:pPr>
        <w:pStyle w:val="NormalBullets"/>
      </w:pPr>
      <w:r>
        <w:t>living with a disability</w:t>
      </w:r>
    </w:p>
    <w:p w14:paraId="270F1DF6" w14:textId="469A99ED" w:rsidR="00706E38" w:rsidRDefault="00604795" w:rsidP="00630409">
      <w:pPr>
        <w:pStyle w:val="NormalBullets"/>
      </w:pPr>
      <w:r>
        <w:t>gender diverse/non-binary</w:t>
      </w:r>
      <w:r w:rsidR="001971F3">
        <w:t>.</w:t>
      </w:r>
    </w:p>
    <w:p w14:paraId="678962B7" w14:textId="77777777" w:rsidR="005833BC" w:rsidRDefault="00706E38" w:rsidP="001813CB">
      <w:pPr>
        <w:pStyle w:val="BodyBold"/>
        <w:ind w:left="420"/>
      </w:pPr>
      <w:r w:rsidRPr="005833BC">
        <w:t xml:space="preserve">Clear budget breakdown (weighting 20 per cent) </w:t>
      </w:r>
    </w:p>
    <w:p w14:paraId="4F78F242" w14:textId="340FE11B" w:rsidR="00706E38" w:rsidRPr="005833BC" w:rsidRDefault="001971F3" w:rsidP="00630409">
      <w:pPr>
        <w:pStyle w:val="NormalBullets"/>
      </w:pPr>
      <w:r>
        <w:t>I</w:t>
      </w:r>
      <w:r w:rsidR="00706E38" w:rsidRPr="005833BC">
        <w:t xml:space="preserve">s the budget realistic? </w:t>
      </w:r>
    </w:p>
    <w:p w14:paraId="6DF2B380" w14:textId="3DC12455" w:rsidR="00706E38" w:rsidRDefault="00706E38" w:rsidP="00706E38">
      <w:pPr>
        <w:pStyle w:val="Heading3"/>
      </w:pPr>
      <w:bookmarkStart w:id="16" w:name="_Toc54000832"/>
      <w:r>
        <w:t>Stream 2: Recreation Programs Grant</w:t>
      </w:r>
      <w:bookmarkEnd w:id="16"/>
      <w:r>
        <w:t xml:space="preserve"> </w:t>
      </w:r>
    </w:p>
    <w:p w14:paraId="12DD3A6D" w14:textId="77777777" w:rsidR="00706E38" w:rsidRDefault="00706E38" w:rsidP="00706E38">
      <w:r>
        <w:t>The Recreation Programs Grant is available to organisations to apply for up to $20,000 with a total pool of $110,000 per year. Grant applications can be for new recreational activities or to increase access to existing opportunities for young people.</w:t>
      </w:r>
    </w:p>
    <w:p w14:paraId="4C172410" w14:textId="77777777" w:rsidR="00706E38" w:rsidRDefault="00706E38" w:rsidP="00706E38">
      <w:r>
        <w:t xml:space="preserve">This stream includes a detailed application and acquittal process. </w:t>
      </w:r>
    </w:p>
    <w:p w14:paraId="2ECF6A0E" w14:textId="77777777" w:rsidR="00706E38" w:rsidRDefault="00706E38" w:rsidP="00706E38">
      <w:pPr>
        <w:pStyle w:val="Heading4"/>
      </w:pPr>
      <w:r>
        <w:t xml:space="preserve">Who can apply? </w:t>
      </w:r>
    </w:p>
    <w:p w14:paraId="662478AB" w14:textId="77777777" w:rsidR="00706E38" w:rsidRDefault="00706E38" w:rsidP="00706E38">
      <w:r>
        <w:t xml:space="preserve">Organisations delivering programs to young people within the City of Port Phillip. Youth participation is a requirement in the planning of the application along with demonstrated need. </w:t>
      </w:r>
    </w:p>
    <w:p w14:paraId="2036334E" w14:textId="77777777" w:rsidR="00706E38" w:rsidRDefault="00706E38" w:rsidP="00706E38">
      <w:pPr>
        <w:pStyle w:val="Heading4"/>
      </w:pPr>
      <w:r>
        <w:t xml:space="preserve">What can the funding be used for? </w:t>
      </w:r>
    </w:p>
    <w:p w14:paraId="5A5B027D" w14:textId="31E6F4B7" w:rsidR="00706E38" w:rsidRDefault="00706E38" w:rsidP="00706E38">
      <w:r>
        <w:t>Provision of a free or low-cost recreation program for young people aged 12 to 18 years of age.</w:t>
      </w:r>
      <w:r>
        <w:br w:type="page"/>
      </w:r>
    </w:p>
    <w:p w14:paraId="707B565D" w14:textId="43F8CC5E" w:rsidR="00706E38" w:rsidRDefault="00706E38" w:rsidP="00706E38">
      <w:pPr>
        <w:pStyle w:val="Heading4"/>
      </w:pPr>
      <w:r>
        <w:lastRenderedPageBreak/>
        <w:t>Eligibility</w:t>
      </w:r>
    </w:p>
    <w:p w14:paraId="46AD2FA3" w14:textId="061CBB4A" w:rsidR="00706E38" w:rsidRDefault="00706E38" w:rsidP="00706E38">
      <w:r>
        <w:t>To be eligible for Youth Access Grants Program</w:t>
      </w:r>
      <w:r w:rsidR="001971F3">
        <w:t>,</w:t>
      </w:r>
      <w:r>
        <w:t xml:space="preserve"> funding applicants must:</w:t>
      </w:r>
    </w:p>
    <w:p w14:paraId="7D0951CF" w14:textId="1749AF9F" w:rsidR="00706E38" w:rsidRDefault="00706E38" w:rsidP="00630409">
      <w:pPr>
        <w:pStyle w:val="NormalBullets"/>
      </w:pPr>
      <w:r>
        <w:t xml:space="preserve">be an incorporated organisation, community group or be </w:t>
      </w:r>
      <w:proofErr w:type="spellStart"/>
      <w:r>
        <w:t>auspice</w:t>
      </w:r>
      <w:r w:rsidR="001971F3">
        <w:t>d</w:t>
      </w:r>
      <w:proofErr w:type="spellEnd"/>
      <w:r>
        <w:t xml:space="preserve"> by an incorporated body</w:t>
      </w:r>
    </w:p>
    <w:p w14:paraId="69946AFB" w14:textId="402A1CEC" w:rsidR="00706E38" w:rsidRDefault="00706E38" w:rsidP="00630409">
      <w:pPr>
        <w:pStyle w:val="NormalBullets"/>
      </w:pPr>
      <w:r>
        <w:t xml:space="preserve">provide an ABN or an </w:t>
      </w:r>
      <w:r w:rsidR="001971F3">
        <w:t>a</w:t>
      </w:r>
      <w:r>
        <w:t xml:space="preserve">uspice </w:t>
      </w:r>
      <w:r w:rsidR="001971F3">
        <w:t>o</w:t>
      </w:r>
      <w:r>
        <w:t>rganisation’s ABN</w:t>
      </w:r>
    </w:p>
    <w:p w14:paraId="7DD917E4" w14:textId="141D3C4E" w:rsidR="00706E38" w:rsidRDefault="00706E38" w:rsidP="00630409">
      <w:pPr>
        <w:pStyle w:val="NormalBullets"/>
      </w:pPr>
      <w:r>
        <w:t>have their own Public Liability Insurance or an auspice organisation</w:t>
      </w:r>
      <w:r w:rsidR="001971F3">
        <w:t>’s</w:t>
      </w:r>
      <w:r>
        <w:t xml:space="preserve"> Public Liability Insurance with a minimum of $20 million</w:t>
      </w:r>
    </w:p>
    <w:p w14:paraId="0C767793" w14:textId="563CE53F" w:rsidR="00706E38" w:rsidRDefault="00706E38" w:rsidP="00630409">
      <w:pPr>
        <w:pStyle w:val="NormalBullets"/>
      </w:pPr>
      <w:r>
        <w:t xml:space="preserve">comply with legislation and regulations relating to child safety including the </w:t>
      </w:r>
      <w:r w:rsidRPr="001813CB">
        <w:rPr>
          <w:i/>
        </w:rPr>
        <w:t>Working with Children Act 2005</w:t>
      </w:r>
      <w:r>
        <w:t xml:space="preserve"> and the Working with Children Regulations 2016 and the Victorian Child Safe Standards (CSS)</w:t>
      </w:r>
    </w:p>
    <w:p w14:paraId="37D5EBB0" w14:textId="486A9320" w:rsidR="00706E38" w:rsidRDefault="00706E38" w:rsidP="00630409">
      <w:pPr>
        <w:pStyle w:val="NormalBullets"/>
      </w:pPr>
      <w:r>
        <w:t>have complied with all terms and conditions including the submission of a satisfactory acquittal report for all previous City of Port Phillip grants</w:t>
      </w:r>
    </w:p>
    <w:p w14:paraId="24BF9C00" w14:textId="0C27862C" w:rsidR="00706E38" w:rsidRDefault="00706E38" w:rsidP="00630409">
      <w:pPr>
        <w:pStyle w:val="NormalBullets"/>
      </w:pPr>
      <w:r>
        <w:t>demonstrate that the organisation is financially viable and has the experience to effectively deliver the project.</w:t>
      </w:r>
    </w:p>
    <w:p w14:paraId="65D07667" w14:textId="77777777" w:rsidR="00706E38" w:rsidRDefault="00706E38" w:rsidP="00706E38">
      <w:pPr>
        <w:pStyle w:val="Heading4"/>
      </w:pPr>
      <w:r>
        <w:t xml:space="preserve">Not eligible </w:t>
      </w:r>
    </w:p>
    <w:p w14:paraId="095B356C" w14:textId="77777777" w:rsidR="00706E38" w:rsidRDefault="00706E38" w:rsidP="00630409">
      <w:pPr>
        <w:pStyle w:val="NormalBullets"/>
        <w:numPr>
          <w:ilvl w:val="0"/>
          <w:numId w:val="0"/>
        </w:numPr>
      </w:pPr>
      <w:r>
        <w:t>Youth Access Grants are not for:</w:t>
      </w:r>
    </w:p>
    <w:p w14:paraId="0B1D2836" w14:textId="25745D58" w:rsidR="00706E38" w:rsidRDefault="00706E38" w:rsidP="00630409">
      <w:pPr>
        <w:pStyle w:val="NormalBullets"/>
      </w:pPr>
      <w:r>
        <w:t xml:space="preserve">programs considered the responsibility of state or federal government or not core to council business such as school curriculum activities </w:t>
      </w:r>
    </w:p>
    <w:p w14:paraId="789C4707" w14:textId="3F921014" w:rsidR="00706E38" w:rsidRDefault="00706E38" w:rsidP="00630409">
      <w:pPr>
        <w:pStyle w:val="NormalBullets"/>
      </w:pPr>
      <w:r>
        <w:t xml:space="preserve">building, capital works* or facility maintenance works </w:t>
      </w:r>
    </w:p>
    <w:p w14:paraId="1E5DC637" w14:textId="29B08189" w:rsidR="00706E38" w:rsidRDefault="00706E38" w:rsidP="00630409">
      <w:pPr>
        <w:pStyle w:val="NormalBullets"/>
      </w:pPr>
      <w:r>
        <w:t>ongoing staff salaries or administration costs not specific to the project</w:t>
      </w:r>
    </w:p>
    <w:p w14:paraId="0E89EA66" w14:textId="69DCB2B7" w:rsidR="00706E38" w:rsidRDefault="00706E38" w:rsidP="00630409">
      <w:pPr>
        <w:pStyle w:val="NormalBullets"/>
      </w:pPr>
      <w:r>
        <w:t>retrospective funding</w:t>
      </w:r>
    </w:p>
    <w:p w14:paraId="5BF20A4B" w14:textId="2AA46765" w:rsidR="00706E38" w:rsidRDefault="00706E38" w:rsidP="00630409">
      <w:pPr>
        <w:pStyle w:val="NormalBullets"/>
      </w:pPr>
      <w:r>
        <w:t xml:space="preserve">programs not targeting 12 to 18 age group living </w:t>
      </w:r>
      <w:r w:rsidR="001971F3">
        <w:t>in</w:t>
      </w:r>
      <w:r>
        <w:t xml:space="preserve"> the City of Port Phillip</w:t>
      </w:r>
    </w:p>
    <w:p w14:paraId="6F81C4C5" w14:textId="1432EFCB" w:rsidR="00706E38" w:rsidRDefault="00706E38" w:rsidP="00630409">
      <w:pPr>
        <w:pStyle w:val="NormalBullets"/>
      </w:pPr>
      <w:r>
        <w:t xml:space="preserve">individuals (unless </w:t>
      </w:r>
      <w:proofErr w:type="spellStart"/>
      <w:r>
        <w:t>auspice</w:t>
      </w:r>
      <w:r w:rsidR="001971F3">
        <w:t>d</w:t>
      </w:r>
      <w:proofErr w:type="spellEnd"/>
      <w:r>
        <w:t xml:space="preserve"> by an organisation).</w:t>
      </w:r>
    </w:p>
    <w:p w14:paraId="6066BE7D" w14:textId="3CCC7816" w:rsidR="00706E38" w:rsidRDefault="00706E38" w:rsidP="00706E38">
      <w:r>
        <w:t>* Capital works are defined as projects undertaken to create a new permanent asset or space, or to permanently change the use, function or layout of an existing asset or space.</w:t>
      </w:r>
      <w:r>
        <w:br w:type="page"/>
      </w:r>
    </w:p>
    <w:p w14:paraId="73F7A866" w14:textId="71A545DA" w:rsidR="00706E38" w:rsidRDefault="00706E38" w:rsidP="00CB6FDF">
      <w:pPr>
        <w:pStyle w:val="Heading4"/>
      </w:pPr>
      <w:r>
        <w:lastRenderedPageBreak/>
        <w:t xml:space="preserve">Assessment criteria </w:t>
      </w:r>
    </w:p>
    <w:p w14:paraId="7F045500" w14:textId="77777777" w:rsidR="00706E38" w:rsidRDefault="00706E38" w:rsidP="00706E38">
      <w:r>
        <w:t>Submissions will be assessed by an internal panel, against the following criteria:</w:t>
      </w:r>
    </w:p>
    <w:p w14:paraId="643DDC41" w14:textId="77777777" w:rsidR="00706E38" w:rsidRPr="00754C3A" w:rsidRDefault="00706E38" w:rsidP="00754C3A">
      <w:pPr>
        <w:pStyle w:val="BodyBold"/>
      </w:pPr>
      <w:r w:rsidRPr="00754C3A">
        <w:t xml:space="preserve">Community need and benefit (weighting 30 per cent) </w:t>
      </w:r>
    </w:p>
    <w:p w14:paraId="3437A22D" w14:textId="6B19680D" w:rsidR="00706E38" w:rsidRDefault="00706E38" w:rsidP="00630409">
      <w:pPr>
        <w:pStyle w:val="NormalBullets"/>
      </w:pPr>
      <w:r>
        <w:t>Has a need for the program been clearly demonstrated?</w:t>
      </w:r>
    </w:p>
    <w:p w14:paraId="555555CA" w14:textId="51131538" w:rsidR="00706E38" w:rsidRDefault="00706E38" w:rsidP="00630409">
      <w:pPr>
        <w:pStyle w:val="NormalBullets"/>
      </w:pPr>
      <w:r>
        <w:t>How effectively will the program meet this need?</w:t>
      </w:r>
    </w:p>
    <w:p w14:paraId="45C8FE20" w14:textId="5AB23D28" w:rsidR="00706E38" w:rsidRDefault="00706E38" w:rsidP="00630409">
      <w:pPr>
        <w:pStyle w:val="NormalBullets"/>
      </w:pPr>
      <w:r>
        <w:t>What benefits will the program deliver to young people?</w:t>
      </w:r>
    </w:p>
    <w:p w14:paraId="0F1656C5" w14:textId="378AFFD1" w:rsidR="00C35C94" w:rsidRDefault="00706E38" w:rsidP="00C35C94">
      <w:pPr>
        <w:ind w:left="420"/>
      </w:pPr>
      <w:r>
        <w:t xml:space="preserve">Projects </w:t>
      </w:r>
      <w:r w:rsidR="00C35C94" w:rsidRPr="005833BC">
        <w:t>will be prioritised if they cater for young people</w:t>
      </w:r>
      <w:r w:rsidR="00C35C94">
        <w:t xml:space="preserve"> who are</w:t>
      </w:r>
      <w:r w:rsidR="00C35C94" w:rsidRPr="005833BC">
        <w:t xml:space="preserve">: </w:t>
      </w:r>
    </w:p>
    <w:p w14:paraId="670B759E" w14:textId="77777777" w:rsidR="00C35C94" w:rsidRDefault="00C35C94" w:rsidP="00630409">
      <w:pPr>
        <w:pStyle w:val="NormalBullets"/>
      </w:pPr>
      <w:r>
        <w:t>living in social housing</w:t>
      </w:r>
    </w:p>
    <w:p w14:paraId="3DAC1520" w14:textId="77777777" w:rsidR="00C35C94" w:rsidRDefault="00C35C94" w:rsidP="00630409">
      <w:pPr>
        <w:pStyle w:val="NormalBullets"/>
      </w:pPr>
      <w:r>
        <w:t>from Aboriginal and Torres Strait Islander backgrounds</w:t>
      </w:r>
    </w:p>
    <w:p w14:paraId="0DB34797" w14:textId="77777777" w:rsidR="00C35C94" w:rsidRDefault="00C35C94" w:rsidP="00630409">
      <w:pPr>
        <w:pStyle w:val="NormalBullets"/>
      </w:pPr>
      <w:r>
        <w:t xml:space="preserve">from </w:t>
      </w:r>
      <w:proofErr w:type="spellStart"/>
      <w:r>
        <w:t>CALD</w:t>
      </w:r>
      <w:proofErr w:type="spellEnd"/>
      <w:r>
        <w:t xml:space="preserve"> backgrounds</w:t>
      </w:r>
    </w:p>
    <w:p w14:paraId="31CE32F7" w14:textId="77777777" w:rsidR="00C35C94" w:rsidRDefault="00C35C94" w:rsidP="00630409">
      <w:pPr>
        <w:pStyle w:val="NormalBullets"/>
      </w:pPr>
      <w:r>
        <w:t>living with a disability</w:t>
      </w:r>
    </w:p>
    <w:p w14:paraId="4E85EFAB" w14:textId="77777777" w:rsidR="00C35C94" w:rsidRDefault="00C35C94" w:rsidP="00630409">
      <w:pPr>
        <w:pStyle w:val="NormalBullets"/>
      </w:pPr>
      <w:r>
        <w:t>gender diverse/non-binary.</w:t>
      </w:r>
    </w:p>
    <w:p w14:paraId="2247DF3D" w14:textId="77777777" w:rsidR="00706E38" w:rsidRPr="00706E38" w:rsidRDefault="00706E38" w:rsidP="00754C3A">
      <w:pPr>
        <w:pStyle w:val="BodyBold"/>
      </w:pPr>
      <w:r w:rsidRPr="00706E38">
        <w:t xml:space="preserve">Capacity of the organisation to deliver on project outcomes (weighting 30 per cent) </w:t>
      </w:r>
    </w:p>
    <w:p w14:paraId="3A4BDDEF" w14:textId="3FB69372" w:rsidR="00706E38" w:rsidRDefault="00706E38" w:rsidP="00630409">
      <w:pPr>
        <w:pStyle w:val="NormalBullets"/>
      </w:pPr>
      <w:r>
        <w:t>Proven track</w:t>
      </w:r>
      <w:r w:rsidR="00C35C94">
        <w:t>-</w:t>
      </w:r>
      <w:r>
        <w:t xml:space="preserve">record and experience (similar work undertaken) </w:t>
      </w:r>
    </w:p>
    <w:p w14:paraId="0B8DEB33" w14:textId="70791EC3" w:rsidR="00706E38" w:rsidRDefault="00706E38" w:rsidP="00630409">
      <w:pPr>
        <w:pStyle w:val="NormalBullets"/>
      </w:pPr>
      <w:r>
        <w:t>Necessary resources to effectively deliver the project</w:t>
      </w:r>
    </w:p>
    <w:p w14:paraId="5E84C10B" w14:textId="55B77F73" w:rsidR="00706E38" w:rsidRDefault="00706E38" w:rsidP="00630409">
      <w:pPr>
        <w:pStyle w:val="NormalBullets"/>
      </w:pPr>
      <w:r>
        <w:t>The program must adhere to the restrictions during the COVID-19 pandemic</w:t>
      </w:r>
      <w:r w:rsidR="00C35C94">
        <w:t>.</w:t>
      </w:r>
    </w:p>
    <w:p w14:paraId="25EEA1B5" w14:textId="77777777" w:rsidR="00706E38" w:rsidRPr="00706E38" w:rsidRDefault="00706E38" w:rsidP="00754C3A">
      <w:pPr>
        <w:pStyle w:val="BodyBold"/>
      </w:pPr>
      <w:r w:rsidRPr="00706E38">
        <w:t xml:space="preserve">Planning and management (weighting 30 per cent)  </w:t>
      </w:r>
    </w:p>
    <w:p w14:paraId="4EBE6702" w14:textId="1DBF2DA7" w:rsidR="00706E38" w:rsidRDefault="00706E38" w:rsidP="00630409">
      <w:pPr>
        <w:pStyle w:val="NormalBullets"/>
      </w:pPr>
      <w:r>
        <w:t>How will the project be planned, managed, implemented and evaluated?</w:t>
      </w:r>
    </w:p>
    <w:p w14:paraId="798291CA" w14:textId="12309D49" w:rsidR="00706E38" w:rsidRDefault="00706E38" w:rsidP="00630409">
      <w:pPr>
        <w:pStyle w:val="NormalBullets"/>
      </w:pPr>
      <w:r>
        <w:t>Clearly defined project aims</w:t>
      </w:r>
    </w:p>
    <w:p w14:paraId="211FD8F6" w14:textId="08C8EE43" w:rsidR="00706E38" w:rsidRDefault="00706E38" w:rsidP="00630409">
      <w:pPr>
        <w:pStyle w:val="NormalBullets"/>
      </w:pPr>
      <w:r>
        <w:t xml:space="preserve">Clearly identified target group </w:t>
      </w:r>
    </w:p>
    <w:p w14:paraId="5DD32278" w14:textId="44CE8C36" w:rsidR="00706E38" w:rsidRDefault="00706E38" w:rsidP="00630409">
      <w:pPr>
        <w:pStyle w:val="NormalBullets"/>
      </w:pPr>
      <w:r>
        <w:t xml:space="preserve">How will young people be recruited and supported to participate? </w:t>
      </w:r>
    </w:p>
    <w:p w14:paraId="07DE2BEA" w14:textId="543E4770" w:rsidR="00706E38" w:rsidRDefault="00706E38" w:rsidP="00630409">
      <w:pPr>
        <w:pStyle w:val="NormalBullets"/>
      </w:pPr>
      <w:r>
        <w:t>Realistic timelines</w:t>
      </w:r>
    </w:p>
    <w:p w14:paraId="71476D12" w14:textId="58F1B5A5" w:rsidR="00706E38" w:rsidRDefault="00706E38" w:rsidP="00630409">
      <w:pPr>
        <w:pStyle w:val="NormalBullets"/>
      </w:pPr>
      <w:r>
        <w:t xml:space="preserve">Does the budget reflect value for money? </w:t>
      </w:r>
    </w:p>
    <w:p w14:paraId="5C304D2A" w14:textId="1114058C" w:rsidR="00706E38" w:rsidRDefault="00706E38" w:rsidP="00630409">
      <w:pPr>
        <w:pStyle w:val="NormalBullets"/>
      </w:pPr>
      <w:r>
        <w:t xml:space="preserve">No more than 20 per cent of any grant is retained for organisational overheads. </w:t>
      </w:r>
    </w:p>
    <w:p w14:paraId="4612682D" w14:textId="77777777" w:rsidR="00754C3A" w:rsidRDefault="00706E38" w:rsidP="00754C3A">
      <w:pPr>
        <w:pStyle w:val="BodyBold"/>
        <w:rPr>
          <w:bCs/>
        </w:rPr>
      </w:pPr>
      <w:r w:rsidRPr="00706E38">
        <w:rPr>
          <w:bCs/>
        </w:rPr>
        <w:t>Youth participation and consultation (weighting 10 per cent)</w:t>
      </w:r>
    </w:p>
    <w:p w14:paraId="4F1BEDF2" w14:textId="5A4360BE" w:rsidR="00706E38" w:rsidRDefault="00706E38" w:rsidP="00630409">
      <w:pPr>
        <w:pStyle w:val="NormalBullets"/>
      </w:pPr>
      <w:r w:rsidRPr="00706E38">
        <w:rPr>
          <w:b/>
          <w:bCs/>
        </w:rPr>
        <w:t xml:space="preserve"> </w:t>
      </w:r>
      <w:r w:rsidR="00C35C94">
        <w:t>W</w:t>
      </w:r>
      <w:r>
        <w:t>ere young people consulted and involved in the design of the program?</w:t>
      </w:r>
      <w:r>
        <w:br w:type="page"/>
      </w:r>
    </w:p>
    <w:p w14:paraId="53AE41DD" w14:textId="084EE562" w:rsidR="00706E38" w:rsidRDefault="00706E38" w:rsidP="00706E38">
      <w:pPr>
        <w:pStyle w:val="Heading2"/>
      </w:pPr>
      <w:bookmarkStart w:id="17" w:name="_Toc54000833"/>
      <w:r>
        <w:lastRenderedPageBreak/>
        <w:t>Timeline</w:t>
      </w:r>
      <w:bookmarkEnd w:id="17"/>
    </w:p>
    <w:p w14:paraId="741BBB78" w14:textId="78953BEB" w:rsidR="007670EC" w:rsidRDefault="00215147" w:rsidP="00706E38">
      <w:r>
        <w:t>This is a rolling grants program that can be applied to at any time until the funding has been expended for each financial year. Applications will be assessed by a panel each month, except for December. It will take up to four weeks before successful applications receive funding due to procurement processes.</w:t>
      </w:r>
    </w:p>
    <w:p w14:paraId="7B25EB37" w14:textId="46665466" w:rsidR="00706E38" w:rsidRDefault="00706E38" w:rsidP="00706E38">
      <w:pPr>
        <w:pStyle w:val="Caption"/>
      </w:pPr>
      <w:bookmarkStart w:id="18" w:name="_Toc51618644"/>
      <w:r>
        <w:t xml:space="preserve">Table </w:t>
      </w:r>
      <w:r w:rsidR="001E7126">
        <w:fldChar w:fldCharType="begin"/>
      </w:r>
      <w:r w:rsidR="001E7126">
        <w:instrText xml:space="preserve"> SEQ Table \* ARABIC </w:instrText>
      </w:r>
      <w:r w:rsidR="001E7126">
        <w:fldChar w:fldCharType="separate"/>
      </w:r>
      <w:r w:rsidR="006C3343">
        <w:rPr>
          <w:noProof/>
        </w:rPr>
        <w:t>2</w:t>
      </w:r>
      <w:r w:rsidR="001E7126">
        <w:rPr>
          <w:noProof/>
        </w:rPr>
        <w:fldChar w:fldCharType="end"/>
      </w:r>
      <w:r>
        <w:t xml:space="preserve"> Youth Access Grant</w:t>
      </w:r>
      <w:r w:rsidR="003B6584">
        <w:t>s</w:t>
      </w:r>
      <w:r w:rsidR="00CB6FDF">
        <w:t xml:space="preserve"> P</w:t>
      </w:r>
      <w:r>
        <w:t>rogram timeline</w:t>
      </w:r>
      <w:bookmarkEnd w:id="18"/>
    </w:p>
    <w:tbl>
      <w:tblPr>
        <w:tblStyle w:val="ListTable2-Accent511"/>
        <w:tblW w:w="4780" w:type="pct"/>
        <w:tblLook w:val="04A0" w:firstRow="1" w:lastRow="0" w:firstColumn="1" w:lastColumn="0" w:noHBand="0" w:noVBand="1"/>
        <w:tblDescription w:val="Program timeline listing the activities and schedule dates"/>
      </w:tblPr>
      <w:tblGrid>
        <w:gridCol w:w="4536"/>
        <w:gridCol w:w="4678"/>
      </w:tblGrid>
      <w:tr w:rsidR="00706E38" w:rsidRPr="00620F2A" w14:paraId="39472A51" w14:textId="77777777" w:rsidTr="00754C3A">
        <w:trPr>
          <w:cnfStyle w:val="100000000000" w:firstRow="1" w:lastRow="0" w:firstColumn="0" w:lastColumn="0" w:oddVBand="0" w:evenVBand="0" w:oddHBand="0" w:evenHBand="0" w:firstRowFirstColumn="0" w:firstRowLastColumn="0" w:lastRowFirstColumn="0" w:lastRowLastColumn="0"/>
          <w:trHeight w:val="448"/>
          <w:tblHeader/>
        </w:trPr>
        <w:tc>
          <w:tcPr>
            <w:cnfStyle w:val="001000000000" w:firstRow="0" w:lastRow="0" w:firstColumn="1" w:lastColumn="0" w:oddVBand="0" w:evenVBand="0" w:oddHBand="0" w:evenHBand="0" w:firstRowFirstColumn="0" w:firstRowLastColumn="0" w:lastRowFirstColumn="0" w:lastRowLastColumn="0"/>
            <w:tcW w:w="4536" w:type="dxa"/>
            <w:shd w:val="clear" w:color="auto" w:fill="000000" w:themeFill="text1"/>
          </w:tcPr>
          <w:p w14:paraId="78BD9A08" w14:textId="77777777" w:rsidR="00706E38" w:rsidRPr="00E96F4C" w:rsidRDefault="00706E38" w:rsidP="00706E38">
            <w:pPr>
              <w:spacing w:before="120" w:after="120"/>
              <w:rPr>
                <w:color w:val="FFFFFF" w:themeColor="background1"/>
              </w:rPr>
            </w:pPr>
            <w:r>
              <w:rPr>
                <w:color w:val="FFFFFF" w:themeColor="background1"/>
              </w:rPr>
              <w:t>Activity</w:t>
            </w:r>
          </w:p>
        </w:tc>
        <w:tc>
          <w:tcPr>
            <w:tcW w:w="4678" w:type="dxa"/>
            <w:shd w:val="clear" w:color="auto" w:fill="000000" w:themeFill="text1"/>
          </w:tcPr>
          <w:p w14:paraId="1CCB2B41" w14:textId="77777777" w:rsidR="00706E38" w:rsidRPr="00E96F4C" w:rsidRDefault="00706E38" w:rsidP="00706E38">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Scheduled date</w:t>
            </w:r>
          </w:p>
        </w:tc>
      </w:tr>
      <w:tr w:rsidR="00706E38" w:rsidRPr="00620F2A" w14:paraId="526D2B17" w14:textId="77777777" w:rsidTr="00754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A2F26C3" w14:textId="77777777" w:rsidR="00706E38" w:rsidRPr="00444E55" w:rsidRDefault="00706E38" w:rsidP="00754C3A">
            <w:pPr>
              <w:spacing w:before="120" w:after="120"/>
              <w:rPr>
                <w:b w:val="0"/>
                <w:bCs w:val="0"/>
              </w:rPr>
            </w:pPr>
            <w:r w:rsidRPr="00444E55">
              <w:rPr>
                <w:b w:val="0"/>
                <w:bCs w:val="0"/>
              </w:rPr>
              <w:t xml:space="preserve">Applications open </w:t>
            </w:r>
          </w:p>
        </w:tc>
        <w:tc>
          <w:tcPr>
            <w:tcW w:w="4678" w:type="dxa"/>
          </w:tcPr>
          <w:p w14:paraId="7DEEEFA9" w14:textId="24106A5C" w:rsidR="00706E38" w:rsidRPr="00444E55" w:rsidRDefault="00706E38" w:rsidP="00754C3A">
            <w:pPr>
              <w:spacing w:before="120" w:after="120"/>
              <w:cnfStyle w:val="000000100000" w:firstRow="0" w:lastRow="0" w:firstColumn="0" w:lastColumn="0" w:oddVBand="0" w:evenVBand="0" w:oddHBand="1" w:evenHBand="0" w:firstRowFirstColumn="0" w:firstRowLastColumn="0" w:lastRowFirstColumn="0" w:lastRowLastColumn="0"/>
            </w:pPr>
            <w:r>
              <w:t xml:space="preserve">Monday </w:t>
            </w:r>
            <w:r w:rsidR="00754C3A">
              <w:t>26 October</w:t>
            </w:r>
            <w:r w:rsidR="005833BC">
              <w:t>,</w:t>
            </w:r>
            <w:r w:rsidR="00754C3A">
              <w:t xml:space="preserve"> </w:t>
            </w:r>
            <w:r w:rsidR="006868D5">
              <w:t>2020</w:t>
            </w:r>
          </w:p>
        </w:tc>
      </w:tr>
      <w:tr w:rsidR="00706E38" w:rsidRPr="00B35173" w14:paraId="5E972AF3" w14:textId="77777777" w:rsidTr="00754C3A">
        <w:tc>
          <w:tcPr>
            <w:cnfStyle w:val="001000000000" w:firstRow="0" w:lastRow="0" w:firstColumn="1" w:lastColumn="0" w:oddVBand="0" w:evenVBand="0" w:oddHBand="0" w:evenHBand="0" w:firstRowFirstColumn="0" w:firstRowLastColumn="0" w:lastRowFirstColumn="0" w:lastRowLastColumn="0"/>
            <w:tcW w:w="4536" w:type="dxa"/>
          </w:tcPr>
          <w:p w14:paraId="411B0592" w14:textId="77777777" w:rsidR="00706E38" w:rsidRPr="00444E55" w:rsidRDefault="00706E38" w:rsidP="00754C3A">
            <w:pPr>
              <w:spacing w:before="120" w:after="120"/>
              <w:rPr>
                <w:b w:val="0"/>
                <w:bCs w:val="0"/>
              </w:rPr>
            </w:pPr>
            <w:r>
              <w:rPr>
                <w:b w:val="0"/>
                <w:bCs w:val="0"/>
              </w:rPr>
              <w:t>Information sessions</w:t>
            </w:r>
            <w:r w:rsidRPr="00444E55">
              <w:rPr>
                <w:b w:val="0"/>
                <w:bCs w:val="0"/>
              </w:rPr>
              <w:t xml:space="preserve"> </w:t>
            </w:r>
          </w:p>
        </w:tc>
        <w:tc>
          <w:tcPr>
            <w:tcW w:w="4678" w:type="dxa"/>
          </w:tcPr>
          <w:p w14:paraId="2AB33251" w14:textId="7A324907" w:rsidR="006868D5" w:rsidRDefault="00754C3A" w:rsidP="00754C3A">
            <w:pPr>
              <w:cnfStyle w:val="000000000000" w:firstRow="0" w:lastRow="0" w:firstColumn="0" w:lastColumn="0" w:oddVBand="0" w:evenVBand="0" w:oddHBand="0" w:evenHBand="0" w:firstRowFirstColumn="0" w:firstRowLastColumn="0" w:lastRowFirstColumn="0" w:lastRowLastColumn="0"/>
            </w:pPr>
            <w:r>
              <w:t>Wednesday 4 November, 1.30</w:t>
            </w:r>
            <w:r w:rsidR="00C35C94">
              <w:t xml:space="preserve"> </w:t>
            </w:r>
            <w:r>
              <w:t>pm to 2.30</w:t>
            </w:r>
            <w:r w:rsidR="00C35C94">
              <w:t xml:space="preserve"> </w:t>
            </w:r>
            <w:r>
              <w:t>pm</w:t>
            </w:r>
          </w:p>
          <w:p w14:paraId="68BABAA5" w14:textId="0C6C49B9" w:rsidR="00706E38" w:rsidRPr="00444E55" w:rsidRDefault="006868D5" w:rsidP="006868D5">
            <w:pPr>
              <w:cnfStyle w:val="000000000000" w:firstRow="0" w:lastRow="0" w:firstColumn="0" w:lastColumn="0" w:oddVBand="0" w:evenVBand="0" w:oddHBand="0" w:evenHBand="0" w:firstRowFirstColumn="0" w:firstRowLastColumn="0" w:lastRowFirstColumn="0" w:lastRowLastColumn="0"/>
            </w:pPr>
            <w:r>
              <w:t>Monday 9 November, 2</w:t>
            </w:r>
            <w:r w:rsidR="00C35C94">
              <w:t xml:space="preserve"> </w:t>
            </w:r>
            <w:r>
              <w:t>pm to 3</w:t>
            </w:r>
            <w:r w:rsidR="00C35C94">
              <w:t xml:space="preserve"> </w:t>
            </w:r>
            <w:r>
              <w:t>pm</w:t>
            </w:r>
          </w:p>
        </w:tc>
      </w:tr>
      <w:tr w:rsidR="00706E38" w:rsidRPr="00B35173" w14:paraId="5047AB71" w14:textId="77777777" w:rsidTr="00754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8579267" w14:textId="77777777" w:rsidR="00706E38" w:rsidRPr="00444E55" w:rsidRDefault="00706E38" w:rsidP="00754C3A">
            <w:pPr>
              <w:spacing w:before="120" w:after="120"/>
              <w:rPr>
                <w:b w:val="0"/>
                <w:bCs w:val="0"/>
              </w:rPr>
            </w:pPr>
            <w:r w:rsidRPr="00444E55">
              <w:rPr>
                <w:b w:val="0"/>
                <w:bCs w:val="0"/>
              </w:rPr>
              <w:t>Application assessed</w:t>
            </w:r>
          </w:p>
        </w:tc>
        <w:tc>
          <w:tcPr>
            <w:tcW w:w="4678" w:type="dxa"/>
          </w:tcPr>
          <w:p w14:paraId="6E36257A" w14:textId="2C428865" w:rsidR="00754C3A" w:rsidRPr="005363DD" w:rsidRDefault="00314B9E" w:rsidP="00754C3A">
            <w:pPr>
              <w:cnfStyle w:val="000000100000" w:firstRow="0" w:lastRow="0" w:firstColumn="0" w:lastColumn="0" w:oddVBand="0" w:evenVBand="0" w:oddHBand="1" w:evenHBand="0" w:firstRowFirstColumn="0" w:firstRowLastColumn="0" w:lastRowFirstColumn="0" w:lastRowLastColumn="0"/>
              <w:rPr>
                <w:b/>
              </w:rPr>
            </w:pPr>
            <w:r>
              <w:rPr>
                <w:b/>
              </w:rPr>
              <w:t>Due</w:t>
            </w:r>
            <w:r w:rsidR="00754C3A" w:rsidRPr="005363DD">
              <w:rPr>
                <w:b/>
              </w:rPr>
              <w:t xml:space="preserve"> dates</w:t>
            </w:r>
            <w:r w:rsidR="00754C3A">
              <w:rPr>
                <w:b/>
              </w:rPr>
              <w:t xml:space="preserve"> for 2021</w:t>
            </w:r>
            <w:r w:rsidR="00754C3A" w:rsidRPr="005363DD">
              <w:rPr>
                <w:b/>
              </w:rPr>
              <w:t xml:space="preserve">: </w:t>
            </w:r>
          </w:p>
          <w:p w14:paraId="2E489A0E" w14:textId="7FC1552C"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 xml:space="preserve">Wednesday </w:t>
            </w:r>
            <w:r w:rsidR="00754C3A">
              <w:t>1</w:t>
            </w:r>
            <w:r w:rsidR="001E7126">
              <w:t>3</w:t>
            </w:r>
            <w:r w:rsidR="00754C3A">
              <w:t xml:space="preserve"> January </w:t>
            </w:r>
          </w:p>
          <w:p w14:paraId="324AD1BF" w14:textId="4E751841"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 xml:space="preserve">Wednesday </w:t>
            </w:r>
            <w:r w:rsidR="00754C3A">
              <w:t>1</w:t>
            </w:r>
            <w:r w:rsidR="001E7126">
              <w:t>0</w:t>
            </w:r>
            <w:r w:rsidR="00754C3A">
              <w:t xml:space="preserve"> February </w:t>
            </w:r>
          </w:p>
          <w:p w14:paraId="47B094A4" w14:textId="17EFE045" w:rsidR="006C36A6" w:rsidRDefault="006C36A6"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w:t>
            </w:r>
            <w:r>
              <w:t>1</w:t>
            </w:r>
            <w:r w:rsidR="001E7126">
              <w:t>0</w:t>
            </w:r>
            <w:r>
              <w:t xml:space="preserve"> March</w:t>
            </w:r>
          </w:p>
          <w:p w14:paraId="7B5D4AE0" w14:textId="6467E900"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w:t>
            </w:r>
            <w:r w:rsidR="00754C3A">
              <w:t>1</w:t>
            </w:r>
            <w:r w:rsidR="001E7126">
              <w:t>4</w:t>
            </w:r>
            <w:r w:rsidR="00754C3A">
              <w:t xml:space="preserve"> April </w:t>
            </w:r>
          </w:p>
          <w:p w14:paraId="450E5FF2" w14:textId="3B3B692F"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w:t>
            </w:r>
            <w:r w:rsidR="00754C3A">
              <w:t>1</w:t>
            </w:r>
            <w:r w:rsidR="001E7126">
              <w:t>2</w:t>
            </w:r>
            <w:r w:rsidR="00754C3A">
              <w:t xml:space="preserve"> May </w:t>
            </w:r>
          </w:p>
          <w:p w14:paraId="5383A865" w14:textId="24E91142"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9</w:t>
            </w:r>
            <w:r w:rsidR="00754C3A">
              <w:t xml:space="preserve"> June </w:t>
            </w:r>
          </w:p>
          <w:p w14:paraId="7CE01097" w14:textId="0CF15225"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w:t>
            </w:r>
            <w:r w:rsidR="00754C3A">
              <w:t>1</w:t>
            </w:r>
            <w:r w:rsidR="001E7126">
              <w:t>4</w:t>
            </w:r>
            <w:r w:rsidR="00754C3A">
              <w:t xml:space="preserve"> July </w:t>
            </w:r>
          </w:p>
          <w:p w14:paraId="3AE97242" w14:textId="2960B604"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w:t>
            </w:r>
            <w:r w:rsidR="00754C3A">
              <w:t>1</w:t>
            </w:r>
            <w:r w:rsidR="001E7126">
              <w:t>1</w:t>
            </w:r>
            <w:r w:rsidR="00754C3A">
              <w:t xml:space="preserve"> August </w:t>
            </w:r>
          </w:p>
          <w:p w14:paraId="28D11C21" w14:textId="455AF7C0"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8</w:t>
            </w:r>
            <w:r w:rsidR="00754C3A">
              <w:t xml:space="preserve"> September </w:t>
            </w:r>
          </w:p>
          <w:p w14:paraId="7930E2C5" w14:textId="394B1B55"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13</w:t>
            </w:r>
            <w:r w:rsidR="00754C3A">
              <w:t xml:space="preserve"> October </w:t>
            </w:r>
          </w:p>
          <w:p w14:paraId="63789607" w14:textId="420F92F1" w:rsidR="00754C3A" w:rsidRDefault="006868D5" w:rsidP="00630409">
            <w:pPr>
              <w:pStyle w:val="NormalBullets"/>
              <w:cnfStyle w:val="000000100000" w:firstRow="0" w:lastRow="0" w:firstColumn="0" w:lastColumn="0" w:oddVBand="0" w:evenVBand="0" w:oddHBand="1" w:evenHBand="0" w:firstRowFirstColumn="0" w:firstRowLastColumn="0" w:lastRowFirstColumn="0" w:lastRowLastColumn="0"/>
            </w:pPr>
            <w:r>
              <w:t xml:space="preserve">12, noon, </w:t>
            </w:r>
            <w:r w:rsidR="001E7126">
              <w:t>Wednesday</w:t>
            </w:r>
            <w:r w:rsidR="001E7126">
              <w:t xml:space="preserve"> 10</w:t>
            </w:r>
            <w:r w:rsidR="00754C3A">
              <w:t xml:space="preserve"> November </w:t>
            </w:r>
          </w:p>
          <w:p w14:paraId="2C0ED680" w14:textId="224A1DF0" w:rsidR="00706E38" w:rsidRPr="003F47B5" w:rsidRDefault="006C36A6" w:rsidP="00630409">
            <w:pPr>
              <w:pStyle w:val="NormalBullets"/>
              <w:numPr>
                <w:ilvl w:val="0"/>
                <w:numId w:val="0"/>
              </w:numPr>
              <w:cnfStyle w:val="000000100000" w:firstRow="0" w:lastRow="0" w:firstColumn="0" w:lastColumn="0" w:oddVBand="0" w:evenVBand="0" w:oddHBand="1" w:evenHBand="0" w:firstRowFirstColumn="0" w:firstRowLastColumn="0" w:lastRowFirstColumn="0" w:lastRowLastColumn="0"/>
            </w:pPr>
            <w:r>
              <w:t>There is n</w:t>
            </w:r>
            <w:r w:rsidR="00754C3A">
              <w:t>o grant round in December</w:t>
            </w:r>
            <w:r w:rsidR="00C35C94">
              <w:t>.</w:t>
            </w:r>
            <w:r w:rsidR="00754C3A">
              <w:t xml:space="preserve"> </w:t>
            </w:r>
          </w:p>
        </w:tc>
        <w:bookmarkStart w:id="19" w:name="_GoBack"/>
        <w:bookmarkEnd w:id="19"/>
      </w:tr>
      <w:tr w:rsidR="00706E38" w:rsidRPr="00B35173" w14:paraId="53106581" w14:textId="77777777" w:rsidTr="00754C3A">
        <w:tc>
          <w:tcPr>
            <w:cnfStyle w:val="001000000000" w:firstRow="0" w:lastRow="0" w:firstColumn="1" w:lastColumn="0" w:oddVBand="0" w:evenVBand="0" w:oddHBand="0" w:evenHBand="0" w:firstRowFirstColumn="0" w:firstRowLastColumn="0" w:lastRowFirstColumn="0" w:lastRowLastColumn="0"/>
            <w:tcW w:w="4536" w:type="dxa"/>
          </w:tcPr>
          <w:p w14:paraId="6888EEB5" w14:textId="77777777" w:rsidR="00706E38" w:rsidRPr="00444E55" w:rsidRDefault="00706E38" w:rsidP="00754C3A">
            <w:pPr>
              <w:spacing w:before="120" w:after="120"/>
              <w:rPr>
                <w:b w:val="0"/>
                <w:bCs w:val="0"/>
              </w:rPr>
            </w:pPr>
            <w:r w:rsidRPr="00444E55">
              <w:rPr>
                <w:b w:val="0"/>
                <w:bCs w:val="0"/>
              </w:rPr>
              <w:t>Applicants emailed funding outcome</w:t>
            </w:r>
          </w:p>
        </w:tc>
        <w:tc>
          <w:tcPr>
            <w:tcW w:w="4678" w:type="dxa"/>
          </w:tcPr>
          <w:p w14:paraId="26A996F1" w14:textId="3154EE63" w:rsidR="00706E38" w:rsidRPr="003F47B5" w:rsidRDefault="00706E38" w:rsidP="00754C3A">
            <w:pPr>
              <w:spacing w:before="120" w:after="120"/>
              <w:cnfStyle w:val="000000000000" w:firstRow="0" w:lastRow="0" w:firstColumn="0" w:lastColumn="0" w:oddVBand="0" w:evenVBand="0" w:oddHBand="0" w:evenHBand="0" w:firstRowFirstColumn="0" w:firstRowLastColumn="0" w:lastRowFirstColumn="0" w:lastRowLastColumn="0"/>
            </w:pPr>
            <w:r>
              <w:t>Up to two weeks from assessment</w:t>
            </w:r>
            <w:r w:rsidR="00C35C94">
              <w:t>.</w:t>
            </w:r>
          </w:p>
        </w:tc>
      </w:tr>
      <w:tr w:rsidR="00706E38" w:rsidRPr="00B35173" w14:paraId="076F3B92" w14:textId="77777777" w:rsidTr="00754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712EA6B" w14:textId="77777777" w:rsidR="00706E38" w:rsidRPr="00444E55" w:rsidRDefault="00706E38" w:rsidP="00754C3A">
            <w:pPr>
              <w:spacing w:before="120" w:after="120"/>
              <w:rPr>
                <w:b w:val="0"/>
                <w:bCs w:val="0"/>
              </w:rPr>
            </w:pPr>
            <w:r w:rsidRPr="00444E55">
              <w:rPr>
                <w:b w:val="0"/>
                <w:bCs w:val="0"/>
              </w:rPr>
              <w:t>Funds issued to successful applicants</w:t>
            </w:r>
          </w:p>
        </w:tc>
        <w:tc>
          <w:tcPr>
            <w:tcW w:w="4678" w:type="dxa"/>
          </w:tcPr>
          <w:p w14:paraId="6BB7DB91" w14:textId="2750CC4E" w:rsidR="00706E38" w:rsidRPr="003F47B5" w:rsidRDefault="00706E38" w:rsidP="00754C3A">
            <w:pPr>
              <w:spacing w:before="120" w:after="120"/>
              <w:cnfStyle w:val="000000100000" w:firstRow="0" w:lastRow="0" w:firstColumn="0" w:lastColumn="0" w:oddVBand="0" w:evenVBand="0" w:oddHBand="1" w:evenHBand="0" w:firstRowFirstColumn="0" w:firstRowLastColumn="0" w:lastRowFirstColumn="0" w:lastRowLastColumn="0"/>
            </w:pPr>
            <w:r>
              <w:t>Up to two weeks from</w:t>
            </w:r>
            <w:r w:rsidR="00754C3A">
              <w:t xml:space="preserve"> notification. </w:t>
            </w:r>
          </w:p>
        </w:tc>
      </w:tr>
    </w:tbl>
    <w:p w14:paraId="4C7E107B" w14:textId="47ABB39D" w:rsidR="00706E38" w:rsidRDefault="00706E38" w:rsidP="00706E38">
      <w:pPr>
        <w:pStyle w:val="Heading2"/>
      </w:pPr>
      <w:bookmarkStart w:id="20" w:name="_Toc54000834"/>
      <w:r>
        <w:t>Information sessions</w:t>
      </w:r>
      <w:bookmarkEnd w:id="20"/>
    </w:p>
    <w:p w14:paraId="42FB5F8D" w14:textId="7E2D1CB9" w:rsidR="00706E38" w:rsidRDefault="00706E38" w:rsidP="00706E38">
      <w:r>
        <w:t xml:space="preserve">If you have any access requirements to participate in these information sessions, please contact the Youth Development and Planning Officer on </w:t>
      </w:r>
      <w:hyperlink r:id="rId11" w:history="1">
        <w:r w:rsidR="00CB6FDF" w:rsidRPr="001060A5">
          <w:rPr>
            <w:rStyle w:val="Hyperlink"/>
          </w:rPr>
          <w:t>youthaccessgrants@portphillip.vic.gov.au</w:t>
        </w:r>
      </w:hyperlink>
    </w:p>
    <w:p w14:paraId="55900D93" w14:textId="67DF9AE3" w:rsidR="00706E38" w:rsidRPr="00FC6A43" w:rsidRDefault="006C3343" w:rsidP="006C3343">
      <w:pPr>
        <w:pStyle w:val="Caption"/>
        <w:keepNext/>
      </w:pPr>
      <w:bookmarkStart w:id="21" w:name="_Toc51618645"/>
      <w:r>
        <w:lastRenderedPageBreak/>
        <w:t xml:space="preserve">Table </w:t>
      </w:r>
      <w:r w:rsidR="001E7126">
        <w:fldChar w:fldCharType="begin"/>
      </w:r>
      <w:r w:rsidR="001E7126">
        <w:instrText xml:space="preserve"> SEQ Table \* ARABIC </w:instrText>
      </w:r>
      <w:r w:rsidR="001E7126">
        <w:fldChar w:fldCharType="separate"/>
      </w:r>
      <w:r>
        <w:rPr>
          <w:noProof/>
        </w:rPr>
        <w:t>3</w:t>
      </w:r>
      <w:r w:rsidR="001E7126">
        <w:rPr>
          <w:noProof/>
        </w:rPr>
        <w:fldChar w:fldCharType="end"/>
      </w:r>
      <w:r w:rsidRPr="002A4C5D">
        <w:t xml:space="preserve"> Youth Access Grant</w:t>
      </w:r>
      <w:r w:rsidR="003B6584">
        <w:t>s</w:t>
      </w:r>
      <w:r w:rsidRPr="002A4C5D">
        <w:t xml:space="preserve"> program information sessions</w:t>
      </w:r>
      <w:bookmarkEnd w:id="21"/>
    </w:p>
    <w:tbl>
      <w:tblPr>
        <w:tblStyle w:val="ListTable2-Accent511"/>
        <w:tblW w:w="4780" w:type="pct"/>
        <w:tblLook w:val="04A0" w:firstRow="1" w:lastRow="0" w:firstColumn="1" w:lastColumn="0" w:noHBand="0" w:noVBand="1"/>
        <w:tblDescription w:val="Link to infromation sessions and the scheduled dates"/>
      </w:tblPr>
      <w:tblGrid>
        <w:gridCol w:w="4536"/>
        <w:gridCol w:w="4678"/>
      </w:tblGrid>
      <w:tr w:rsidR="00706E38" w:rsidRPr="00E96F4C" w14:paraId="287C04D6" w14:textId="77777777" w:rsidTr="00754C3A">
        <w:trPr>
          <w:cnfStyle w:val="100000000000" w:firstRow="1" w:lastRow="0" w:firstColumn="0" w:lastColumn="0" w:oddVBand="0" w:evenVBand="0" w:oddHBand="0" w:evenHBand="0" w:firstRowFirstColumn="0" w:firstRowLastColumn="0" w:lastRowFirstColumn="0" w:lastRowLastColumn="0"/>
          <w:trHeight w:val="448"/>
          <w:tblHeader/>
        </w:trPr>
        <w:tc>
          <w:tcPr>
            <w:cnfStyle w:val="001000000000" w:firstRow="0" w:lastRow="0" w:firstColumn="1" w:lastColumn="0" w:oddVBand="0" w:evenVBand="0" w:oddHBand="0" w:evenHBand="0" w:firstRowFirstColumn="0" w:firstRowLastColumn="0" w:lastRowFirstColumn="0" w:lastRowLastColumn="0"/>
            <w:tcW w:w="4536" w:type="dxa"/>
            <w:shd w:val="clear" w:color="auto" w:fill="000000" w:themeFill="text1"/>
          </w:tcPr>
          <w:p w14:paraId="126597FF" w14:textId="77777777" w:rsidR="00706E38" w:rsidRPr="00E96F4C" w:rsidRDefault="00706E38" w:rsidP="00706E38">
            <w:pPr>
              <w:spacing w:before="120" w:after="120"/>
              <w:rPr>
                <w:color w:val="FFFFFF" w:themeColor="background1"/>
              </w:rPr>
            </w:pPr>
            <w:r>
              <w:rPr>
                <w:color w:val="FFFFFF" w:themeColor="background1"/>
              </w:rPr>
              <w:t>Information session RSVP</w:t>
            </w:r>
          </w:p>
        </w:tc>
        <w:tc>
          <w:tcPr>
            <w:tcW w:w="4678" w:type="dxa"/>
            <w:shd w:val="clear" w:color="auto" w:fill="000000" w:themeFill="text1"/>
          </w:tcPr>
          <w:p w14:paraId="5E84D213" w14:textId="77777777" w:rsidR="00706E38" w:rsidRPr="00E96F4C" w:rsidRDefault="00706E38" w:rsidP="00706E38">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Scheduled date</w:t>
            </w:r>
          </w:p>
        </w:tc>
      </w:tr>
      <w:tr w:rsidR="00706E38" w:rsidRPr="00444E55" w14:paraId="1AD97136" w14:textId="77777777" w:rsidTr="00754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8D248BB" w14:textId="77777777" w:rsidR="00706E38" w:rsidRPr="00444E55" w:rsidRDefault="001E7126" w:rsidP="00754C3A">
            <w:pPr>
              <w:spacing w:before="120" w:after="120"/>
              <w:rPr>
                <w:b w:val="0"/>
                <w:bCs w:val="0"/>
              </w:rPr>
            </w:pPr>
            <w:hyperlink r:id="rId12" w:history="1">
              <w:r w:rsidR="00706E38" w:rsidRPr="00B71B7C">
                <w:rPr>
                  <w:rStyle w:val="Hyperlink"/>
                  <w:b w:val="0"/>
                  <w:bCs w:val="0"/>
                </w:rPr>
                <w:t>Information session 1</w:t>
              </w:r>
            </w:hyperlink>
          </w:p>
        </w:tc>
        <w:tc>
          <w:tcPr>
            <w:tcW w:w="4678" w:type="dxa"/>
          </w:tcPr>
          <w:p w14:paraId="763CF03E" w14:textId="7FC5E318" w:rsidR="00706E38" w:rsidRPr="00444E55" w:rsidRDefault="00754C3A" w:rsidP="00754C3A">
            <w:pPr>
              <w:cnfStyle w:val="000000100000" w:firstRow="0" w:lastRow="0" w:firstColumn="0" w:lastColumn="0" w:oddVBand="0" w:evenVBand="0" w:oddHBand="1" w:evenHBand="0" w:firstRowFirstColumn="0" w:firstRowLastColumn="0" w:lastRowFirstColumn="0" w:lastRowLastColumn="0"/>
            </w:pPr>
            <w:r>
              <w:t>Wednesday 4 November, 1.30</w:t>
            </w:r>
            <w:r w:rsidR="00C35C94">
              <w:t xml:space="preserve"> </w:t>
            </w:r>
            <w:r>
              <w:t>pm to 2.30</w:t>
            </w:r>
            <w:r w:rsidR="00C35C94">
              <w:t xml:space="preserve"> </w:t>
            </w:r>
            <w:r>
              <w:t xml:space="preserve">pm </w:t>
            </w:r>
          </w:p>
        </w:tc>
      </w:tr>
      <w:tr w:rsidR="00706E38" w:rsidRPr="00444E55" w14:paraId="00C0277C" w14:textId="77777777" w:rsidTr="00754C3A">
        <w:tc>
          <w:tcPr>
            <w:cnfStyle w:val="001000000000" w:firstRow="0" w:lastRow="0" w:firstColumn="1" w:lastColumn="0" w:oddVBand="0" w:evenVBand="0" w:oddHBand="0" w:evenHBand="0" w:firstRowFirstColumn="0" w:firstRowLastColumn="0" w:lastRowFirstColumn="0" w:lastRowLastColumn="0"/>
            <w:tcW w:w="4536" w:type="dxa"/>
          </w:tcPr>
          <w:p w14:paraId="22D8F3AB" w14:textId="77777777" w:rsidR="00706E38" w:rsidRPr="00444E55" w:rsidRDefault="001E7126" w:rsidP="00754C3A">
            <w:pPr>
              <w:spacing w:before="120" w:after="120"/>
              <w:rPr>
                <w:b w:val="0"/>
                <w:bCs w:val="0"/>
              </w:rPr>
            </w:pPr>
            <w:hyperlink r:id="rId13" w:history="1">
              <w:r w:rsidR="00706E38" w:rsidRPr="00B71B7C">
                <w:rPr>
                  <w:rStyle w:val="Hyperlink"/>
                  <w:b w:val="0"/>
                  <w:bCs w:val="0"/>
                </w:rPr>
                <w:t>Information session 2</w:t>
              </w:r>
            </w:hyperlink>
            <w:r w:rsidR="00706E38">
              <w:rPr>
                <w:b w:val="0"/>
                <w:bCs w:val="0"/>
              </w:rPr>
              <w:t xml:space="preserve"> </w:t>
            </w:r>
          </w:p>
        </w:tc>
        <w:tc>
          <w:tcPr>
            <w:tcW w:w="4678" w:type="dxa"/>
          </w:tcPr>
          <w:p w14:paraId="7808B2CC" w14:textId="2CDAB836" w:rsidR="00706E38" w:rsidRPr="00444E55" w:rsidRDefault="00754C3A" w:rsidP="00754C3A">
            <w:pPr>
              <w:spacing w:before="120" w:after="120"/>
              <w:cnfStyle w:val="000000000000" w:firstRow="0" w:lastRow="0" w:firstColumn="0" w:lastColumn="0" w:oddVBand="0" w:evenVBand="0" w:oddHBand="0" w:evenHBand="0" w:firstRowFirstColumn="0" w:firstRowLastColumn="0" w:lastRowFirstColumn="0" w:lastRowLastColumn="0"/>
            </w:pPr>
            <w:r>
              <w:t>Monday 9 November, 2</w:t>
            </w:r>
            <w:r w:rsidR="00C35C94">
              <w:t xml:space="preserve"> </w:t>
            </w:r>
            <w:r>
              <w:t>pm to 3</w:t>
            </w:r>
            <w:r w:rsidR="00C35C94">
              <w:t xml:space="preserve"> </w:t>
            </w:r>
            <w:r>
              <w:t>pm</w:t>
            </w:r>
          </w:p>
        </w:tc>
      </w:tr>
    </w:tbl>
    <w:p w14:paraId="193DB89B" w14:textId="27FC184A" w:rsidR="00706E38" w:rsidRDefault="00706E38" w:rsidP="00706E38">
      <w:pPr>
        <w:spacing w:before="200"/>
      </w:pPr>
      <w:r>
        <w:t xml:space="preserve">For future information session dates on the Youth Access Grants Program, check </w:t>
      </w:r>
      <w:r w:rsidR="009258CB">
        <w:t xml:space="preserve">the </w:t>
      </w:r>
      <w:hyperlink r:id="rId14" w:history="1">
        <w:r w:rsidR="009258CB" w:rsidRPr="009258CB">
          <w:rPr>
            <w:rStyle w:val="Hyperlink"/>
          </w:rPr>
          <w:t>grants</w:t>
        </w:r>
      </w:hyperlink>
      <w:r w:rsidR="009258CB">
        <w:t xml:space="preserve"> website</w:t>
      </w:r>
      <w:r w:rsidRPr="00706E38">
        <w:t>.</w:t>
      </w:r>
      <w:r>
        <w:br w:type="page"/>
      </w:r>
    </w:p>
    <w:p w14:paraId="44822078" w14:textId="77777777" w:rsidR="00706E38" w:rsidRDefault="00706E38" w:rsidP="00706E38">
      <w:pPr>
        <w:pStyle w:val="Heading2"/>
      </w:pPr>
      <w:bookmarkStart w:id="22" w:name="_Toc54000835"/>
      <w:r>
        <w:lastRenderedPageBreak/>
        <w:t>Submitting your application</w:t>
      </w:r>
      <w:bookmarkEnd w:id="22"/>
    </w:p>
    <w:p w14:paraId="4F2482EB" w14:textId="77777777" w:rsidR="00706E38" w:rsidRDefault="00706E38" w:rsidP="00706E38">
      <w:r>
        <w:t xml:space="preserve">All applications are made online through City of Port Phillip’s Smarty Grants. </w:t>
      </w:r>
    </w:p>
    <w:p w14:paraId="46BF5DB8" w14:textId="5FF571CB" w:rsidR="00706E38" w:rsidRDefault="001E7126" w:rsidP="00630409">
      <w:pPr>
        <w:pStyle w:val="NormalBullets"/>
      </w:pPr>
      <w:hyperlink r:id="rId15" w:history="1">
        <w:r w:rsidR="00706E38" w:rsidRPr="00706E38">
          <w:rPr>
            <w:rStyle w:val="Hyperlink"/>
          </w:rPr>
          <w:t>Smarty Grants registration</w:t>
        </w:r>
      </w:hyperlink>
      <w:r w:rsidR="00706E38">
        <w:t xml:space="preserve"> </w:t>
      </w:r>
    </w:p>
    <w:p w14:paraId="367B2859" w14:textId="2375B167" w:rsidR="00706E38" w:rsidRDefault="001E7126" w:rsidP="00630409">
      <w:pPr>
        <w:pStyle w:val="NormalBullets"/>
      </w:pPr>
      <w:hyperlink r:id="rId16" w:history="1">
        <w:r w:rsidR="00706E38" w:rsidRPr="00706E38">
          <w:rPr>
            <w:rStyle w:val="Hyperlink"/>
          </w:rPr>
          <w:t>Help guide for applicants</w:t>
        </w:r>
      </w:hyperlink>
      <w:r w:rsidR="00706E38">
        <w:t xml:space="preserve">  </w:t>
      </w:r>
    </w:p>
    <w:p w14:paraId="2DC7A344" w14:textId="3BC7DAFC" w:rsidR="00706E38" w:rsidRDefault="001E7126" w:rsidP="00630409">
      <w:pPr>
        <w:pStyle w:val="NormalBullets"/>
      </w:pPr>
      <w:hyperlink r:id="rId17" w:history="1">
        <w:r w:rsidR="00706E38" w:rsidRPr="00706E38">
          <w:rPr>
            <w:rStyle w:val="Hyperlink"/>
          </w:rPr>
          <w:t>Applicant frequently asked questions</w:t>
        </w:r>
      </w:hyperlink>
    </w:p>
    <w:p w14:paraId="5ECF45BD" w14:textId="34E4C481" w:rsidR="00706E38" w:rsidRDefault="00706E38" w:rsidP="00706E38">
      <w:r>
        <w:t xml:space="preserve">If you require assistance to complete your online application, please contact the Youth Development and Planning Officer on </w:t>
      </w:r>
      <w:hyperlink r:id="rId18" w:history="1">
        <w:r w:rsidR="006F312A" w:rsidRPr="001060A5">
          <w:rPr>
            <w:rStyle w:val="Hyperlink"/>
          </w:rPr>
          <w:t>youthaccessgrants@portphillip.vic.gov.au</w:t>
        </w:r>
      </w:hyperlink>
    </w:p>
    <w:p w14:paraId="50B33BED" w14:textId="29F0DE80" w:rsidR="00706E38" w:rsidRDefault="00706E38" w:rsidP="00706E38">
      <w:pPr>
        <w:pStyle w:val="Heading2"/>
      </w:pPr>
      <w:bookmarkStart w:id="23" w:name="_Toc54000836"/>
      <w:r>
        <w:t>Required documentation</w:t>
      </w:r>
      <w:bookmarkEnd w:id="23"/>
    </w:p>
    <w:p w14:paraId="070ECBE4" w14:textId="77777777" w:rsidR="00706E38" w:rsidRDefault="00706E38" w:rsidP="00706E38">
      <w:r>
        <w:t>Applicants for Stream 2 need to provide the required documentation with their application.</w:t>
      </w:r>
    </w:p>
    <w:p w14:paraId="5DB0A6AB" w14:textId="77777777" w:rsidR="00706E38" w:rsidRDefault="00706E38" w:rsidP="00706E38">
      <w:pPr>
        <w:pStyle w:val="Heading3"/>
      </w:pPr>
      <w:bookmarkStart w:id="24" w:name="_Toc54000837"/>
      <w:r>
        <w:t>Incorporation</w:t>
      </w:r>
      <w:bookmarkEnd w:id="24"/>
    </w:p>
    <w:p w14:paraId="5CF6DAD7" w14:textId="77777777" w:rsidR="00706E38" w:rsidRDefault="00706E38" w:rsidP="00706E38">
      <w:r>
        <w:t>Applicants must be incorporated or hold another legal entity status. Incorporation is the most common way to provide a community group status as a legal entity.</w:t>
      </w:r>
    </w:p>
    <w:p w14:paraId="05365974" w14:textId="2B265ED8" w:rsidR="00706E38" w:rsidRDefault="00706E38" w:rsidP="00706E38">
      <w:r>
        <w:t xml:space="preserve">If you are not incorporated and would like to become incorporated, you may contact the Office of </w:t>
      </w:r>
      <w:hyperlink r:id="rId19" w:history="1">
        <w:r w:rsidRPr="00706E38">
          <w:rPr>
            <w:rStyle w:val="Hyperlink"/>
          </w:rPr>
          <w:t>Consumer Affairs Victoria</w:t>
        </w:r>
      </w:hyperlink>
      <w:r>
        <w:t xml:space="preserve"> or phone </w:t>
      </w:r>
      <w:hyperlink r:id="rId20" w:history="1">
        <w:r w:rsidRPr="00706E38">
          <w:rPr>
            <w:rStyle w:val="Hyperlink"/>
          </w:rPr>
          <w:t>1300 558 181</w:t>
        </w:r>
      </w:hyperlink>
      <w:r>
        <w:t xml:space="preserve"> for more information.</w:t>
      </w:r>
    </w:p>
    <w:p w14:paraId="11126779" w14:textId="77777777" w:rsidR="00706E38" w:rsidRDefault="00706E38" w:rsidP="00706E38">
      <w:r>
        <w:t>If your group is not incorporated and does not wish or is unable to become incorporated, you may apply through an auspice organisation.</w:t>
      </w:r>
    </w:p>
    <w:p w14:paraId="0A184681" w14:textId="77777777" w:rsidR="00706E38" w:rsidRDefault="00706E38" w:rsidP="00706E38">
      <w:pPr>
        <w:pStyle w:val="Heading3"/>
      </w:pPr>
      <w:bookmarkStart w:id="25" w:name="_Toc54000838"/>
      <w:r>
        <w:t>Auspice organisation</w:t>
      </w:r>
      <w:bookmarkEnd w:id="25"/>
    </w:p>
    <w:p w14:paraId="59A803B7" w14:textId="1699CD6C" w:rsidR="00706E38" w:rsidRDefault="00706E38" w:rsidP="00706E38">
      <w:r>
        <w:t>An auspice is any organisation that is incorporated, holds current public and products liability insurance and agrees to take responsibility for your grant. Any legally constituted body may act as an auspice organisation to partner with, apply for or manage funding on behalf of another non-incorporated organisation or individual.</w:t>
      </w:r>
    </w:p>
    <w:p w14:paraId="65C7E5DE" w14:textId="77777777" w:rsidR="00706E38" w:rsidRDefault="00706E38" w:rsidP="00706E38">
      <w:r>
        <w:t>If the funding application is successful, the auspice organisation will receive and manage the funds for the applicant to deliver the funded project or activities. The auspice organisation is responsible for the effective acquittal of the grant.</w:t>
      </w:r>
    </w:p>
    <w:p w14:paraId="40CA61C5" w14:textId="77777777" w:rsidR="00706E38" w:rsidRDefault="00706E38" w:rsidP="00706E38">
      <w:r>
        <w:t>A letter confirming the auspice arrangement must be attached to your funding application. Any auspice fees can be included in your grant budget. Examples of an auspice include:</w:t>
      </w:r>
    </w:p>
    <w:p w14:paraId="2F15A087" w14:textId="1B1EFF71" w:rsidR="00706E38" w:rsidRDefault="00706E38" w:rsidP="00630409">
      <w:pPr>
        <w:pStyle w:val="NormalBullets"/>
      </w:pPr>
      <w:r>
        <w:t>local neighbourhood houses</w:t>
      </w:r>
    </w:p>
    <w:p w14:paraId="6BBC2C56" w14:textId="02DCBC84" w:rsidR="00706E38" w:rsidRDefault="00706E38" w:rsidP="00630409">
      <w:pPr>
        <w:pStyle w:val="NormalBullets"/>
      </w:pPr>
      <w:r>
        <w:t>a community organisation you have worked or partnered with</w:t>
      </w:r>
    </w:p>
    <w:p w14:paraId="2CFDE285" w14:textId="21E76C4C" w:rsidR="00706E38" w:rsidRDefault="00706E38" w:rsidP="00630409">
      <w:pPr>
        <w:pStyle w:val="NormalBullets"/>
      </w:pPr>
      <w:r>
        <w:t>a peak body or governing association of your field</w:t>
      </w:r>
    </w:p>
    <w:p w14:paraId="22E7C4C9" w14:textId="6F7370C5" w:rsidR="00706E38" w:rsidRDefault="00706E38" w:rsidP="00630409">
      <w:pPr>
        <w:pStyle w:val="NormalBullets"/>
      </w:pPr>
      <w:r>
        <w:t>organisations with a similar mission and purpose.</w:t>
      </w:r>
    </w:p>
    <w:p w14:paraId="30751CE6" w14:textId="4E1D5046" w:rsidR="00706E38" w:rsidRDefault="00706E38" w:rsidP="00706E38">
      <w:pPr>
        <w:pStyle w:val="Heading3"/>
      </w:pPr>
      <w:bookmarkStart w:id="26" w:name="_Toc54000839"/>
      <w:r>
        <w:lastRenderedPageBreak/>
        <w:t>Public and Products Liability Insurance</w:t>
      </w:r>
      <w:bookmarkEnd w:id="26"/>
    </w:p>
    <w:p w14:paraId="17E28125" w14:textId="3F31A5A0" w:rsidR="00706E38" w:rsidRDefault="00706E38" w:rsidP="00706E38">
      <w:r>
        <w:t xml:space="preserve">City of Port Phillip requires applicants to hold current Public and Products Liability Insurance to protect themselves against legal liability for a third party’s injury, death or damage to property caused by an occurrence in connection with the applicant’s activities. This is proven by providing a valid Certificate of Currency for Public Liability Insurance. </w:t>
      </w:r>
    </w:p>
    <w:p w14:paraId="678116E5" w14:textId="77777777" w:rsidR="00706E38" w:rsidRDefault="00706E38" w:rsidP="00706E38">
      <w:r>
        <w:t>Applications may be submitted without current Public Liability Insurance on the condition that it is purchased and a certificate of currency is provided once the grant is successful.</w:t>
      </w:r>
    </w:p>
    <w:p w14:paraId="5E5840B5" w14:textId="77777777" w:rsidR="00706E38" w:rsidRDefault="00706E38" w:rsidP="00706E38">
      <w:r>
        <w:t>You may apply through an auspice organisation if your group does not wish to purchase insurance.</w:t>
      </w:r>
    </w:p>
    <w:p w14:paraId="7AB740B5" w14:textId="77777777" w:rsidR="00706E38" w:rsidRDefault="00706E38" w:rsidP="00706E38">
      <w:pPr>
        <w:pStyle w:val="Heading2"/>
      </w:pPr>
      <w:bookmarkStart w:id="27" w:name="_Toc54000840"/>
      <w:r>
        <w:t>Funding principles</w:t>
      </w:r>
      <w:bookmarkEnd w:id="27"/>
      <w:r>
        <w:t xml:space="preserve"> </w:t>
      </w:r>
    </w:p>
    <w:p w14:paraId="633A619A" w14:textId="77777777" w:rsidR="00706E38" w:rsidRDefault="00706E38" w:rsidP="00706E38">
      <w:pPr>
        <w:pStyle w:val="Heading3"/>
      </w:pPr>
      <w:bookmarkStart w:id="28" w:name="_Toc54000841"/>
      <w:r>
        <w:t>Council priorities</w:t>
      </w:r>
      <w:bookmarkEnd w:id="28"/>
    </w:p>
    <w:p w14:paraId="51BF48E8" w14:textId="59CD2638" w:rsidR="00706E38" w:rsidRDefault="00706E38" w:rsidP="00706E38">
      <w:r>
        <w:t xml:space="preserve">Applicants must demonstrate consistency with Direction One of the </w:t>
      </w:r>
      <w:hyperlink r:id="rId21" w:history="1">
        <w:r w:rsidRPr="00706E38">
          <w:rPr>
            <w:rStyle w:val="Hyperlink"/>
          </w:rPr>
          <w:t>Council Plan 2017-27</w:t>
        </w:r>
      </w:hyperlink>
      <w:r>
        <w:t xml:space="preserve">: We embrace difference, and people belong. </w:t>
      </w:r>
    </w:p>
    <w:p w14:paraId="325CBEB4" w14:textId="733FF131" w:rsidR="00706E38" w:rsidRDefault="00706E38" w:rsidP="00630409">
      <w:pPr>
        <w:pStyle w:val="NormalBullets"/>
      </w:pPr>
      <w:r>
        <w:t>A safe and active community with strong social connections</w:t>
      </w:r>
    </w:p>
    <w:p w14:paraId="2B0CD1BD" w14:textId="554E7F46" w:rsidR="00706E38" w:rsidRDefault="00706E38" w:rsidP="00630409">
      <w:pPr>
        <w:pStyle w:val="NormalBullets"/>
      </w:pPr>
      <w:r>
        <w:t>Access to services that support the health and wellbeing of our growing community</w:t>
      </w:r>
    </w:p>
    <w:p w14:paraId="25D70B0A" w14:textId="6C123ED4" w:rsidR="00706E38" w:rsidRDefault="00706E38" w:rsidP="00630409">
      <w:pPr>
        <w:pStyle w:val="NormalBullets"/>
      </w:pPr>
      <w:r>
        <w:t>Community diversity is valued, supporting social inclusion and resilience</w:t>
      </w:r>
    </w:p>
    <w:p w14:paraId="3CF53D7A" w14:textId="5EB2188E" w:rsidR="00706E38" w:rsidRDefault="00706E38" w:rsidP="00706E38">
      <w:pPr>
        <w:pStyle w:val="Heading3"/>
      </w:pPr>
      <w:bookmarkStart w:id="29" w:name="_Toc54000842"/>
      <w:r>
        <w:t>Access and inclusion</w:t>
      </w:r>
      <w:bookmarkEnd w:id="29"/>
    </w:p>
    <w:p w14:paraId="274443F8" w14:textId="77777777" w:rsidR="00706E38" w:rsidRDefault="00706E38" w:rsidP="00706E38">
      <w:r>
        <w:t xml:space="preserve">City of Port Phillip is committed to equitable participation and engagement, ensuring access and inclusion to all of it services and programs for people with disability. All grant applicants are encouraged to consider how their organisation and project will be accessible and inclusive of people with disability.   </w:t>
      </w:r>
    </w:p>
    <w:p w14:paraId="00F041FC" w14:textId="0997A86D" w:rsidR="00706E38" w:rsidRDefault="00706E38" w:rsidP="00706E38">
      <w:r>
        <w:t xml:space="preserve">Information on organising an accessible and inclusive event can be found on the </w:t>
      </w:r>
      <w:hyperlink r:id="rId22" w:history="1">
        <w:r w:rsidR="00C35C94">
          <w:rPr>
            <w:color w:val="0563C1" w:themeColor="hyperlink"/>
            <w:u w:val="single"/>
            <w:lang w:eastAsia="en-AU"/>
          </w:rPr>
          <w:t>e</w:t>
        </w:r>
        <w:r w:rsidRPr="003F47B5">
          <w:rPr>
            <w:color w:val="0563C1" w:themeColor="hyperlink"/>
            <w:u w:val="single"/>
            <w:lang w:eastAsia="en-AU"/>
          </w:rPr>
          <w:t xml:space="preserve">vent </w:t>
        </w:r>
        <w:r w:rsidR="00C35C94">
          <w:rPr>
            <w:color w:val="0563C1" w:themeColor="hyperlink"/>
            <w:u w:val="single"/>
            <w:lang w:eastAsia="en-AU"/>
          </w:rPr>
          <w:t>a</w:t>
        </w:r>
        <w:r w:rsidRPr="003F47B5">
          <w:rPr>
            <w:color w:val="0563C1" w:themeColor="hyperlink"/>
            <w:u w:val="single"/>
            <w:lang w:eastAsia="en-AU"/>
          </w:rPr>
          <w:t xml:space="preserve">ccessibility </w:t>
        </w:r>
        <w:r w:rsidR="00C35C94">
          <w:rPr>
            <w:color w:val="0563C1" w:themeColor="hyperlink"/>
            <w:u w:val="single"/>
            <w:lang w:eastAsia="en-AU"/>
          </w:rPr>
          <w:t>c</w:t>
        </w:r>
        <w:r w:rsidRPr="003F47B5">
          <w:rPr>
            <w:color w:val="0563C1" w:themeColor="hyperlink"/>
            <w:u w:val="single"/>
            <w:lang w:eastAsia="en-AU"/>
          </w:rPr>
          <w:t>hecklist</w:t>
        </w:r>
      </w:hyperlink>
      <w:r w:rsidRPr="00706E38">
        <w:t>.</w:t>
      </w:r>
    </w:p>
    <w:p w14:paraId="1C201F90" w14:textId="77777777" w:rsidR="00706E38" w:rsidRDefault="00706E38" w:rsidP="00706E38">
      <w:pPr>
        <w:pStyle w:val="Heading3"/>
      </w:pPr>
      <w:bookmarkStart w:id="30" w:name="_Toc54000843"/>
      <w:r>
        <w:t>Ensuring a child safe City of Port Phillip</w:t>
      </w:r>
      <w:bookmarkEnd w:id="30"/>
    </w:p>
    <w:p w14:paraId="1767A7F0" w14:textId="31545687" w:rsidR="00706E38" w:rsidRDefault="00706E38" w:rsidP="00706E38">
      <w:r>
        <w:t xml:space="preserve">City of Port Phillip has zero tolerance for child abuse and we are a committed </w:t>
      </w:r>
      <w:hyperlink r:id="rId23" w:history="1">
        <w:r w:rsidRPr="006F312A">
          <w:rPr>
            <w:rStyle w:val="Hyperlink"/>
          </w:rPr>
          <w:t>Child Safe organisation.</w:t>
        </w:r>
      </w:hyperlink>
      <w:r>
        <w:t xml:space="preserve"> Our commitment is to ensure that a culture of child safety is embedded across our community to safeguard every child and young person accessing City of Port Phillip. </w:t>
      </w:r>
    </w:p>
    <w:p w14:paraId="48770587" w14:textId="497A4B00" w:rsidR="00706E38" w:rsidRDefault="00706E38" w:rsidP="00706E38">
      <w:r>
        <w:t>All grant applications that work directly with children and young people are required to comply with legislation and regulations relating to child safety including, but not limited to, the:</w:t>
      </w:r>
    </w:p>
    <w:p w14:paraId="106EAAF5" w14:textId="77777777" w:rsidR="00706E38" w:rsidRPr="00A91581" w:rsidRDefault="00706E38" w:rsidP="00630409">
      <w:pPr>
        <w:pStyle w:val="NormalBullets"/>
        <w:rPr>
          <w:i/>
        </w:rPr>
      </w:pPr>
      <w:r w:rsidRPr="00A91581">
        <w:rPr>
          <w:i/>
        </w:rPr>
        <w:t xml:space="preserve">Working with Children Act 2005 </w:t>
      </w:r>
    </w:p>
    <w:p w14:paraId="4ECD5656" w14:textId="77777777" w:rsidR="00706E38" w:rsidRPr="00706E38" w:rsidRDefault="00706E38" w:rsidP="00630409">
      <w:pPr>
        <w:pStyle w:val="NormalBullets"/>
      </w:pPr>
      <w:r w:rsidRPr="00706E38">
        <w:t xml:space="preserve">Working with Children Regulations 2016 </w:t>
      </w:r>
    </w:p>
    <w:p w14:paraId="7EA2723F" w14:textId="082A835B" w:rsidR="00706E38" w:rsidRDefault="001E7126" w:rsidP="00630409">
      <w:pPr>
        <w:pStyle w:val="NormalBullets"/>
      </w:pPr>
      <w:hyperlink r:id="rId24" w:history="1">
        <w:r w:rsidR="00706E38" w:rsidRPr="00630409">
          <w:rPr>
            <w:rStyle w:val="Hyperlink"/>
          </w:rPr>
          <w:t>Victorian Child Safe Standards</w:t>
        </w:r>
      </w:hyperlink>
      <w:r w:rsidR="00706E38" w:rsidRPr="00706E38">
        <w:t xml:space="preserve"> </w:t>
      </w:r>
      <w:r w:rsidR="00706E38">
        <w:t>(CSS).</w:t>
      </w:r>
    </w:p>
    <w:p w14:paraId="3905CB18" w14:textId="06B907C9" w:rsidR="00706E38" w:rsidRDefault="00706E38" w:rsidP="00706E38">
      <w:pPr>
        <w:pStyle w:val="Heading3"/>
      </w:pPr>
      <w:bookmarkStart w:id="31" w:name="_Toc54000844"/>
      <w:r>
        <w:lastRenderedPageBreak/>
        <w:t>Sustainability</w:t>
      </w:r>
      <w:bookmarkEnd w:id="31"/>
    </w:p>
    <w:p w14:paraId="2D2488AC" w14:textId="7E6FEF82" w:rsidR="00706E38" w:rsidRDefault="00706E38" w:rsidP="00706E38">
      <w:pPr>
        <w:rPr>
          <w:rStyle w:val="Hyperlink"/>
        </w:rPr>
      </w:pPr>
      <w:r>
        <w:t xml:space="preserve">City of Port Phillip has committed to improving sustainability through its </w:t>
      </w:r>
      <w:hyperlink r:id="rId25" w:history="1">
        <w:r w:rsidRPr="00630409">
          <w:rPr>
            <w:rStyle w:val="Hyperlink"/>
          </w:rPr>
          <w:t>sustainable strategies</w:t>
        </w:r>
      </w:hyperlink>
      <w:r>
        <w:t xml:space="preserve">, </w:t>
      </w:r>
      <w:r w:rsidRPr="00706E38">
        <w:rPr>
          <w:i/>
          <w:iCs/>
        </w:rPr>
        <w:t>Don’t Waste it!</w:t>
      </w:r>
      <w:r w:rsidRPr="00706E38">
        <w:t xml:space="preserve"> </w:t>
      </w:r>
      <w:r>
        <w:t>and</w:t>
      </w:r>
      <w:r>
        <w:rPr>
          <w:i/>
          <w:iCs/>
        </w:rPr>
        <w:t xml:space="preserve"> </w:t>
      </w:r>
      <w:r w:rsidRPr="00706E38">
        <w:rPr>
          <w:i/>
          <w:iCs/>
        </w:rPr>
        <w:t>Act and Adapt.</w:t>
      </w:r>
    </w:p>
    <w:p w14:paraId="2E4D1EAD" w14:textId="6D1080A7" w:rsidR="00706E38" w:rsidRDefault="00706E38" w:rsidP="00706E38">
      <w:r>
        <w:t>Applicants are advised to avoid the following:</w:t>
      </w:r>
    </w:p>
    <w:p w14:paraId="5F9EAD36" w14:textId="1C7D04DD" w:rsidR="00706E38" w:rsidRDefault="00706E38" w:rsidP="00630409">
      <w:pPr>
        <w:pStyle w:val="NormalBullets"/>
      </w:pPr>
      <w:r>
        <w:t>balloons</w:t>
      </w:r>
    </w:p>
    <w:p w14:paraId="6567CCB4" w14:textId="1AB68F68" w:rsidR="00706E38" w:rsidRDefault="00706E38" w:rsidP="00630409">
      <w:pPr>
        <w:pStyle w:val="NormalBullets"/>
      </w:pPr>
      <w:r>
        <w:t>single use plastic bags and straws</w:t>
      </w:r>
    </w:p>
    <w:p w14:paraId="5A24F84B" w14:textId="2158F8AA" w:rsidR="00706E38" w:rsidRDefault="00706E38" w:rsidP="00630409">
      <w:pPr>
        <w:pStyle w:val="NormalBullets"/>
      </w:pPr>
      <w:r>
        <w:t>single use crockery and cutlery that cannot be recycled.</w:t>
      </w:r>
    </w:p>
    <w:p w14:paraId="57564C75" w14:textId="77777777" w:rsidR="00706E38" w:rsidRDefault="00706E38" w:rsidP="00706E38">
      <w:r>
        <w:t>Applicants are encouraged to consider how they can reduce their impact on the environment by implementing the following:</w:t>
      </w:r>
    </w:p>
    <w:p w14:paraId="24BFFDF8" w14:textId="5EE1068D" w:rsidR="00706E38" w:rsidRDefault="00706E38" w:rsidP="00630409">
      <w:pPr>
        <w:pStyle w:val="NormalBullets"/>
      </w:pPr>
      <w:r>
        <w:t>avoiding the use of disposable decorations</w:t>
      </w:r>
    </w:p>
    <w:p w14:paraId="747EE849" w14:textId="4DB2AA9A" w:rsidR="00706E38" w:rsidRDefault="00706E38" w:rsidP="00630409">
      <w:pPr>
        <w:pStyle w:val="NormalBullets"/>
      </w:pPr>
      <w:r>
        <w:t>reducing power consumption</w:t>
      </w:r>
    </w:p>
    <w:p w14:paraId="43A22684" w14:textId="581B38EF" w:rsidR="00706E38" w:rsidRDefault="00706E38" w:rsidP="00630409">
      <w:pPr>
        <w:pStyle w:val="NormalBullets"/>
      </w:pPr>
      <w:r>
        <w:t xml:space="preserve">utilising </w:t>
      </w:r>
      <w:proofErr w:type="spellStart"/>
      <w:r>
        <w:t>eTicketing</w:t>
      </w:r>
      <w:proofErr w:type="spellEnd"/>
    </w:p>
    <w:p w14:paraId="3EAC624E" w14:textId="655F4E0C" w:rsidR="00706E38" w:rsidRDefault="00706E38" w:rsidP="00630409">
      <w:pPr>
        <w:pStyle w:val="NormalBullets"/>
      </w:pPr>
      <w:r>
        <w:t>promoting public transport, walking and cycling</w:t>
      </w:r>
    </w:p>
    <w:p w14:paraId="764427B2" w14:textId="67A56F7E" w:rsidR="00706E38" w:rsidRDefault="00706E38" w:rsidP="00630409">
      <w:pPr>
        <w:pStyle w:val="NormalBullets"/>
      </w:pPr>
      <w:r>
        <w:t>sharing resources with other organisations or project supporters</w:t>
      </w:r>
    </w:p>
    <w:p w14:paraId="2FB3BDF1" w14:textId="362412DF" w:rsidR="00706E38" w:rsidRDefault="00706E38" w:rsidP="00630409">
      <w:pPr>
        <w:pStyle w:val="NormalBullets"/>
      </w:pPr>
      <w:r>
        <w:t>washing crockery and cutlery rather than using disposable items</w:t>
      </w:r>
    </w:p>
    <w:p w14:paraId="1D8A9E25" w14:textId="0EEF52EF" w:rsidR="00706E38" w:rsidRDefault="00706E38" w:rsidP="00630409">
      <w:pPr>
        <w:pStyle w:val="NormalBullets"/>
      </w:pPr>
      <w:r>
        <w:t>encouraging reusable coffee cups</w:t>
      </w:r>
    </w:p>
    <w:p w14:paraId="69E1B1E1" w14:textId="34307E68" w:rsidR="00706E38" w:rsidRDefault="00706E38" w:rsidP="00630409">
      <w:pPr>
        <w:pStyle w:val="NormalBullets"/>
      </w:pPr>
      <w:r>
        <w:t>providing drinking water to reduce the use of plastic bottles</w:t>
      </w:r>
    </w:p>
    <w:p w14:paraId="1271E6AC" w14:textId="211A013A" w:rsidR="00706E38" w:rsidRDefault="00706E38" w:rsidP="00630409">
      <w:pPr>
        <w:pStyle w:val="NormalBullets"/>
      </w:pPr>
      <w:r>
        <w:t>composting organic waste.</w:t>
      </w:r>
    </w:p>
    <w:p w14:paraId="36AB1779" w14:textId="7C78167D" w:rsidR="00706E38" w:rsidRDefault="00706E38" w:rsidP="00706E38">
      <w:pPr>
        <w:pStyle w:val="Heading3"/>
      </w:pPr>
      <w:bookmarkStart w:id="32" w:name="_Toc54000845"/>
      <w:r>
        <w:t>Lobbying</w:t>
      </w:r>
      <w:bookmarkEnd w:id="32"/>
    </w:p>
    <w:p w14:paraId="5CB03F44" w14:textId="60A93C35" w:rsidR="00706E38" w:rsidRDefault="00706E38" w:rsidP="00706E38">
      <w:r>
        <w:t>Canvassing or lobbying of councillors, employees of City of Port Phillip or assessment panel members in relation to the grant is prohibited.</w:t>
      </w:r>
      <w:r>
        <w:br w:type="page"/>
      </w:r>
    </w:p>
    <w:p w14:paraId="48336D61" w14:textId="77777777" w:rsidR="00706E38" w:rsidRDefault="00706E38" w:rsidP="00706E38">
      <w:pPr>
        <w:pStyle w:val="Heading2"/>
      </w:pPr>
      <w:bookmarkStart w:id="33" w:name="_Toc54000846"/>
      <w:r>
        <w:lastRenderedPageBreak/>
        <w:t>Checklist: preparing your grant application</w:t>
      </w:r>
      <w:bookmarkEnd w:id="33"/>
      <w:r>
        <w:t xml:space="preserve"> </w:t>
      </w:r>
    </w:p>
    <w:p w14:paraId="77F7EDFD" w14:textId="77777777" w:rsidR="00706E38" w:rsidRDefault="00706E38" w:rsidP="00706E38">
      <w:pPr>
        <w:pStyle w:val="Heading3"/>
      </w:pPr>
      <w:bookmarkStart w:id="34" w:name="_Toc54000847"/>
      <w:r>
        <w:t>Stream 1: Get Involved Grant</w:t>
      </w:r>
      <w:bookmarkEnd w:id="34"/>
      <w:r>
        <w:t xml:space="preserve">   </w:t>
      </w:r>
    </w:p>
    <w:p w14:paraId="1166E300" w14:textId="01D21C0C" w:rsidR="00706E38" w:rsidRDefault="00706E38" w:rsidP="00706E38">
      <w:r>
        <w:t>Use this checklist for the preparation necessary to apply for Stream 1: Get Involved.</w:t>
      </w:r>
    </w:p>
    <w:p w14:paraId="5464EED6" w14:textId="36735E2E" w:rsidR="00706E38" w:rsidRDefault="001E7126" w:rsidP="00706E38">
      <w:sdt>
        <w:sdtPr>
          <w:id w:val="1653249229"/>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w:t>
      </w:r>
      <w:r w:rsidR="00706E38" w:rsidRPr="00860B77">
        <w:t>Read the Youth Access Grant</w:t>
      </w:r>
      <w:r w:rsidR="003B6584">
        <w:t>s</w:t>
      </w:r>
      <w:r w:rsidR="00706E38" w:rsidRPr="00860B77">
        <w:t xml:space="preserve"> Program Guidelines</w:t>
      </w:r>
    </w:p>
    <w:p w14:paraId="78882558" w14:textId="41AF0643" w:rsidR="00706E38" w:rsidRPr="00860B77" w:rsidRDefault="001E7126" w:rsidP="00706E38">
      <w:pPr>
        <w:spacing w:before="120" w:after="120"/>
        <w:rPr>
          <w:b/>
          <w:bCs/>
        </w:rPr>
      </w:pPr>
      <w:sdt>
        <w:sdtPr>
          <w:id w:val="1481578022"/>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rsidRPr="00706E38">
        <w:t xml:space="preserve"> </w:t>
      </w:r>
      <w:r w:rsidR="00706E38" w:rsidRPr="00860B77">
        <w:t>Check eligibility for the grant:</w:t>
      </w:r>
    </w:p>
    <w:p w14:paraId="63789C64" w14:textId="7CBD4D8D" w:rsidR="00706E38" w:rsidRDefault="00C35C94" w:rsidP="00630409">
      <w:pPr>
        <w:pStyle w:val="NormalBullets"/>
      </w:pPr>
      <w:r>
        <w:t>I</w:t>
      </w:r>
      <w:r w:rsidR="00706E38" w:rsidRPr="00706E38">
        <w:t xml:space="preserve">s the young person you are applying for aged between 12 to 18 years? </w:t>
      </w:r>
    </w:p>
    <w:p w14:paraId="4179C0A2" w14:textId="055522BF" w:rsidR="00706E38" w:rsidRDefault="00C35C94" w:rsidP="00630409">
      <w:pPr>
        <w:pStyle w:val="NormalBullets"/>
      </w:pPr>
      <w:r>
        <w:t>D</w:t>
      </w:r>
      <w:r w:rsidR="00706E38" w:rsidRPr="00860B77">
        <w:t>o they live in the City of Port Phillip?</w:t>
      </w:r>
    </w:p>
    <w:p w14:paraId="788701CA" w14:textId="5B3E5A57" w:rsidR="000223D4" w:rsidRDefault="00C35C94" w:rsidP="00630409">
      <w:pPr>
        <w:pStyle w:val="NormalBullets"/>
      </w:pPr>
      <w:r>
        <w:t>R</w:t>
      </w:r>
      <w:r w:rsidR="00706E38" w:rsidRPr="00706E38">
        <w:t xml:space="preserve">efer to </w:t>
      </w:r>
      <w:r w:rsidR="00706E38" w:rsidRPr="00022F70">
        <w:t xml:space="preserve">Appendix C </w:t>
      </w:r>
      <w:r w:rsidR="00706E38" w:rsidRPr="00706E38">
        <w:t>for Terms and Conditions</w:t>
      </w:r>
    </w:p>
    <w:p w14:paraId="17F3FF1C" w14:textId="58E8CF8D" w:rsidR="00706E38" w:rsidRDefault="001E7126" w:rsidP="000223D4">
      <w:pPr>
        <w:rPr>
          <w:rStyle w:val="Hyperlink"/>
          <w:rFonts w:eastAsiaTheme="minorEastAsia"/>
        </w:rPr>
      </w:pPr>
      <w:sdt>
        <w:sdtPr>
          <w:rPr>
            <w:color w:val="auto"/>
            <w:u w:val="single"/>
          </w:rPr>
          <w:id w:val="1561901450"/>
          <w14:checkbox>
            <w14:checked w14:val="0"/>
            <w14:checkedState w14:val="2612" w14:font="MS Gothic"/>
            <w14:uncheckedState w14:val="2610" w14:font="MS Gothic"/>
          </w14:checkbox>
        </w:sdtPr>
        <w:sdtEndPr/>
        <w:sdtContent>
          <w:r w:rsidR="000223D4">
            <w:rPr>
              <w:rFonts w:ascii="MS Gothic" w:eastAsia="MS Gothic" w:hAnsi="MS Gothic" w:hint="eastAsia"/>
            </w:rPr>
            <w:t>☐</w:t>
          </w:r>
        </w:sdtContent>
      </w:sdt>
      <w:r w:rsidR="00706E38">
        <w:t xml:space="preserve"> </w:t>
      </w:r>
      <w:r w:rsidR="00706E38" w:rsidRPr="00860B77">
        <w:t>Check</w:t>
      </w:r>
      <w:r w:rsidR="00706E38">
        <w:t>-</w:t>
      </w:r>
      <w:r w:rsidR="00706E38" w:rsidRPr="00860B77">
        <w:t>in with the Youth Development and Planning Officer about the suitability of your application</w:t>
      </w:r>
      <w:r w:rsidR="00706E38">
        <w:t xml:space="preserve"> by emailing </w:t>
      </w:r>
      <w:hyperlink r:id="rId26" w:history="1">
        <w:r w:rsidR="00022F70" w:rsidRPr="001060A5">
          <w:rPr>
            <w:rStyle w:val="Hyperlink"/>
            <w:rFonts w:eastAsiaTheme="minorEastAsia"/>
          </w:rPr>
          <w:t>youthaccessgrants@portphillip.vic.gov.au</w:t>
        </w:r>
      </w:hyperlink>
    </w:p>
    <w:p w14:paraId="1EA14A6F" w14:textId="4D5AF196" w:rsidR="00706E38" w:rsidRDefault="001E7126" w:rsidP="000223D4">
      <w:sdt>
        <w:sdtPr>
          <w:id w:val="1866092372"/>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w:t>
      </w:r>
      <w:r w:rsidR="00706E38" w:rsidRPr="00860B77">
        <w:t xml:space="preserve">Login in or register with </w:t>
      </w:r>
      <w:hyperlink r:id="rId27" w:history="1">
        <w:r w:rsidR="00706E38" w:rsidRPr="00706E38">
          <w:rPr>
            <w:rStyle w:val="Hyperlink"/>
          </w:rPr>
          <w:t>Smarty Grants</w:t>
        </w:r>
      </w:hyperlink>
      <w:r w:rsidR="00706E38" w:rsidRPr="00860B77">
        <w:t xml:space="preserve"> to create your application</w:t>
      </w:r>
      <w:r w:rsidR="00706E38">
        <w:br w:type="page"/>
      </w:r>
    </w:p>
    <w:p w14:paraId="34989A57" w14:textId="21A0070E" w:rsidR="00706E38" w:rsidRDefault="00706E38" w:rsidP="00706E38">
      <w:pPr>
        <w:pStyle w:val="Heading3"/>
      </w:pPr>
      <w:bookmarkStart w:id="35" w:name="_Toc54000848"/>
      <w:r>
        <w:lastRenderedPageBreak/>
        <w:t>Stream 2: Recreation Programs Grant</w:t>
      </w:r>
      <w:bookmarkEnd w:id="35"/>
      <w:r>
        <w:t xml:space="preserve"> </w:t>
      </w:r>
    </w:p>
    <w:p w14:paraId="03650020" w14:textId="23E4B35E" w:rsidR="00706E38" w:rsidRDefault="00706E38" w:rsidP="00630409">
      <w:pPr>
        <w:pStyle w:val="NormalBullets"/>
      </w:pPr>
      <w:r>
        <w:t>Use this checklist for the preparation necessary for organisations to apply for Stream 2: Recreation Programs.</w:t>
      </w:r>
    </w:p>
    <w:p w14:paraId="3054EABF" w14:textId="2EB99BB7" w:rsidR="00706E38" w:rsidRDefault="001E7126" w:rsidP="00706E38">
      <w:sdt>
        <w:sdtPr>
          <w:id w:val="-1322655020"/>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Read the Youth Access Grant</w:t>
      </w:r>
      <w:r w:rsidR="003B6584">
        <w:t>s</w:t>
      </w:r>
      <w:r w:rsidR="00706E38">
        <w:t xml:space="preserve"> Program Guidelines</w:t>
      </w:r>
    </w:p>
    <w:p w14:paraId="44BE680B" w14:textId="6898DB42" w:rsidR="00706E38" w:rsidRDefault="001E7126" w:rsidP="00706E38">
      <w:sdt>
        <w:sdtPr>
          <w:id w:val="-20717121"/>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Check eligibility for the grant:</w:t>
      </w:r>
    </w:p>
    <w:p w14:paraId="57AA52D9" w14:textId="23194CD3" w:rsidR="00706E38" w:rsidRDefault="00706E38" w:rsidP="00630409">
      <w:pPr>
        <w:pStyle w:val="NormalBullets"/>
      </w:pPr>
      <w:r>
        <w:t>Are you an incorporated legal entity?</w:t>
      </w:r>
    </w:p>
    <w:p w14:paraId="3C393B67" w14:textId="554DC13C" w:rsidR="00706E38" w:rsidRDefault="00706E38" w:rsidP="00630409">
      <w:pPr>
        <w:pStyle w:val="NormalBullets"/>
      </w:pPr>
      <w:r>
        <w:t>Do you have appropriate insurance for this project?</w:t>
      </w:r>
    </w:p>
    <w:p w14:paraId="7AA8BFD2" w14:textId="646348B2" w:rsidR="00706E38" w:rsidRDefault="00706E38" w:rsidP="00630409">
      <w:pPr>
        <w:pStyle w:val="NormalBullets"/>
      </w:pPr>
      <w:r>
        <w:t xml:space="preserve">Do you comply with legislation and regulations relating to child safety including the </w:t>
      </w:r>
      <w:r w:rsidRPr="00706E38">
        <w:rPr>
          <w:i/>
        </w:rPr>
        <w:t>Working with Children Act 2005</w:t>
      </w:r>
      <w:r>
        <w:t xml:space="preserve">, </w:t>
      </w:r>
      <w:r w:rsidRPr="001813CB">
        <w:t>Working with Children Regulations 2016</w:t>
      </w:r>
      <w:r>
        <w:t xml:space="preserve"> and </w:t>
      </w:r>
      <w:r w:rsidRPr="001813CB">
        <w:t>Victorian Child Safe Standards</w:t>
      </w:r>
      <w:r>
        <w:t xml:space="preserve"> (CSS)?</w:t>
      </w:r>
    </w:p>
    <w:p w14:paraId="36D3E096" w14:textId="5C857A19" w:rsidR="00706E38" w:rsidRDefault="001E7126" w:rsidP="00706E38">
      <w:sdt>
        <w:sdtPr>
          <w:id w:val="-1226439249"/>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Note the individuals who are not eligible to apply. Refer to:</w:t>
      </w:r>
    </w:p>
    <w:p w14:paraId="77030DD3" w14:textId="2BA3216F" w:rsidR="00706E38" w:rsidRPr="003F47B5" w:rsidRDefault="00706E38" w:rsidP="00630409">
      <w:pPr>
        <w:pStyle w:val="NormalBullets"/>
      </w:pPr>
      <w:r w:rsidRPr="00A91581">
        <w:t xml:space="preserve">Appendix A </w:t>
      </w:r>
      <w:r w:rsidRPr="003F47B5">
        <w:t>for</w:t>
      </w:r>
      <w:r>
        <w:t xml:space="preserve"> d</w:t>
      </w:r>
      <w:r w:rsidRPr="003F47B5">
        <w:t>efinitions</w:t>
      </w:r>
    </w:p>
    <w:p w14:paraId="4B365143" w14:textId="48ADA62E" w:rsidR="00706E38" w:rsidRPr="006D1779" w:rsidRDefault="00706E38" w:rsidP="00630409">
      <w:pPr>
        <w:pStyle w:val="NormalBullets"/>
      </w:pPr>
      <w:r w:rsidRPr="00A91581">
        <w:t>Appendix B</w:t>
      </w:r>
      <w:r w:rsidRPr="00A91581">
        <w:rPr>
          <w:sz w:val="20"/>
          <w:szCs w:val="20"/>
        </w:rPr>
        <w:t xml:space="preserve"> </w:t>
      </w:r>
      <w:r w:rsidRPr="003F47B5">
        <w:t>for map of Port Phillip municipality</w:t>
      </w:r>
    </w:p>
    <w:p w14:paraId="4EF0E93D" w14:textId="7B888479" w:rsidR="00706E38" w:rsidRDefault="00706E38" w:rsidP="00630409">
      <w:pPr>
        <w:pStyle w:val="NormalBullets"/>
      </w:pPr>
      <w:r w:rsidRPr="00A91581">
        <w:t>Appendix C</w:t>
      </w:r>
      <w:r w:rsidRPr="00A91581">
        <w:rPr>
          <w:sz w:val="20"/>
          <w:szCs w:val="20"/>
        </w:rPr>
        <w:t xml:space="preserve"> </w:t>
      </w:r>
      <w:r w:rsidRPr="003F47B5">
        <w:t>for Terms and Conditions</w:t>
      </w:r>
    </w:p>
    <w:p w14:paraId="65657799" w14:textId="7C667873" w:rsidR="00706E38" w:rsidRDefault="001E7126" w:rsidP="00706E38">
      <w:sdt>
        <w:sdtPr>
          <w:id w:val="-1343553988"/>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If you are being </w:t>
      </w:r>
      <w:hyperlink r:id="rId28" w:history="1">
        <w:proofErr w:type="spellStart"/>
        <w:r w:rsidR="00706E38" w:rsidRPr="00706E38">
          <w:rPr>
            <w:rStyle w:val="Hyperlink"/>
          </w:rPr>
          <w:t>auspiced</w:t>
        </w:r>
        <w:proofErr w:type="spellEnd"/>
      </w:hyperlink>
      <w:r w:rsidR="00706E38">
        <w:t>, obtain from your auspice organisations the following:</w:t>
      </w:r>
    </w:p>
    <w:p w14:paraId="00AA2172" w14:textId="478EB315" w:rsidR="00706E38" w:rsidRDefault="00706E38" w:rsidP="00630409">
      <w:pPr>
        <w:pStyle w:val="NormalBullets"/>
      </w:pPr>
      <w:r>
        <w:t>incorporation number</w:t>
      </w:r>
    </w:p>
    <w:p w14:paraId="19D1C55E" w14:textId="77777777" w:rsidR="00706E38" w:rsidRDefault="00706E38" w:rsidP="00630409">
      <w:pPr>
        <w:pStyle w:val="NormalBullets"/>
      </w:pPr>
      <w:r>
        <w:t>GST status</w:t>
      </w:r>
    </w:p>
    <w:p w14:paraId="1F8D6E69" w14:textId="77777777" w:rsidR="00706E38" w:rsidRDefault="00706E38" w:rsidP="00630409">
      <w:pPr>
        <w:pStyle w:val="NormalBullets"/>
      </w:pPr>
      <w:r>
        <w:t>ABN</w:t>
      </w:r>
    </w:p>
    <w:p w14:paraId="0FD16729" w14:textId="77777777" w:rsidR="00706E38" w:rsidRDefault="00706E38" w:rsidP="00630409">
      <w:pPr>
        <w:pStyle w:val="NormalBullets"/>
      </w:pPr>
      <w:r>
        <w:t>financial statement</w:t>
      </w:r>
    </w:p>
    <w:p w14:paraId="6F6F43C8" w14:textId="03C0D2EA" w:rsidR="00706E38" w:rsidRDefault="00C35C94" w:rsidP="00630409">
      <w:pPr>
        <w:pStyle w:val="NormalBullets"/>
      </w:pPr>
      <w:r>
        <w:t>c</w:t>
      </w:r>
      <w:r w:rsidR="00706E38">
        <w:t>urrent Public Liability Insurance</w:t>
      </w:r>
    </w:p>
    <w:p w14:paraId="1132CA75" w14:textId="751812E8" w:rsidR="00706E38" w:rsidRDefault="00706E38" w:rsidP="00630409">
      <w:pPr>
        <w:pStyle w:val="NormalBullets"/>
      </w:pPr>
      <w:r w:rsidRPr="00706E38">
        <w:t>letter of support</w:t>
      </w:r>
      <w:r w:rsidR="00C35C94">
        <w:t>.</w:t>
      </w:r>
      <w:r>
        <w:tab/>
      </w:r>
    </w:p>
    <w:p w14:paraId="7651DBE6" w14:textId="73909DD8" w:rsidR="00706E38" w:rsidRDefault="001E7126" w:rsidP="00706E38">
      <w:sdt>
        <w:sdtPr>
          <w:id w:val="132831198"/>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Check in with the Youth Development and Planning Officer about the suitability of your program idea by emailing </w:t>
      </w:r>
      <w:hyperlink r:id="rId29" w:history="1">
        <w:r w:rsidR="00A91581" w:rsidRPr="001060A5">
          <w:rPr>
            <w:rStyle w:val="Hyperlink"/>
          </w:rPr>
          <w:t>youthaccessgrants@portphillip.vic.gov.au</w:t>
        </w:r>
      </w:hyperlink>
    </w:p>
    <w:p w14:paraId="0CEDD856" w14:textId="379A523B" w:rsidR="00706E38" w:rsidRDefault="001E7126" w:rsidP="00706E38">
      <w:sdt>
        <w:sdtPr>
          <w:id w:val="-1554463227"/>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w:t>
      </w:r>
      <w:r w:rsidR="00706E38" w:rsidRPr="00860B77">
        <w:t xml:space="preserve">Login in or register with </w:t>
      </w:r>
      <w:hyperlink r:id="rId30" w:history="1">
        <w:r w:rsidR="00706E38" w:rsidRPr="00706E38">
          <w:rPr>
            <w:rStyle w:val="Hyperlink"/>
          </w:rPr>
          <w:t>Smarty Grants</w:t>
        </w:r>
      </w:hyperlink>
      <w:r w:rsidR="00706E38" w:rsidRPr="00860B77">
        <w:t xml:space="preserve"> to create your application</w:t>
      </w:r>
      <w:r w:rsidR="00C35C94">
        <w:t>.</w:t>
      </w:r>
    </w:p>
    <w:p w14:paraId="76476FC7" w14:textId="36517654" w:rsidR="00706E38" w:rsidRDefault="001E7126" w:rsidP="00706E38">
      <w:sdt>
        <w:sdtPr>
          <w:id w:val="1785082022"/>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Consider accessibility and sustainability in the guidelines</w:t>
      </w:r>
      <w:r w:rsidR="00C35C94">
        <w:t>.</w:t>
      </w:r>
      <w:r w:rsidR="00706E38">
        <w:tab/>
      </w:r>
    </w:p>
    <w:p w14:paraId="2D982CD7" w14:textId="6E3546A2" w:rsidR="00706E38" w:rsidRDefault="001E7126" w:rsidP="00706E38">
      <w:sdt>
        <w:sdtPr>
          <w:id w:val="-974219979"/>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Review the assessment criteria in the guidelines</w:t>
      </w:r>
      <w:r w:rsidR="00C35C94">
        <w:t>.</w:t>
      </w:r>
    </w:p>
    <w:p w14:paraId="41FCFE36" w14:textId="1BA4F6D4" w:rsidR="00706E38" w:rsidRDefault="001E7126" w:rsidP="00706E38">
      <w:sdt>
        <w:sdtPr>
          <w:id w:val="-1550452584"/>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Complete budget and include any in-kind contributions.  </w:t>
      </w:r>
      <w:r w:rsidR="00706E38">
        <w:tab/>
      </w:r>
    </w:p>
    <w:p w14:paraId="249B4CD8" w14:textId="0CE3B80E" w:rsidR="00706E38" w:rsidRDefault="001E7126" w:rsidP="00706E38">
      <w:sdt>
        <w:sdtPr>
          <w:id w:val="-1159151497"/>
          <w14:checkbox>
            <w14:checked w14:val="0"/>
            <w14:checkedState w14:val="2612" w14:font="MS Gothic"/>
            <w14:uncheckedState w14:val="2610" w14:font="MS Gothic"/>
          </w14:checkbox>
        </w:sdtPr>
        <w:sdtEndPr/>
        <w:sdtContent>
          <w:r w:rsidR="00706E38">
            <w:rPr>
              <w:rFonts w:ascii="MS Gothic" w:eastAsia="MS Gothic" w:hAnsi="MS Gothic" w:hint="eastAsia"/>
            </w:rPr>
            <w:t>☐</w:t>
          </w:r>
        </w:sdtContent>
      </w:sdt>
      <w:r w:rsidR="00706E38">
        <w:t xml:space="preserve"> Obtain all mandatory supporting evidence and submit with your application including a recent annual report or annual financial statement submitted to Consumer Affairs</w:t>
      </w:r>
      <w:r w:rsidR="00C35C94">
        <w:t>.</w:t>
      </w:r>
      <w:r w:rsidR="00706E38">
        <w:br w:type="page"/>
      </w:r>
    </w:p>
    <w:p w14:paraId="76D29837" w14:textId="77777777" w:rsidR="00706E38" w:rsidRDefault="00706E38" w:rsidP="00BA74E2">
      <w:pPr>
        <w:pStyle w:val="Heading2"/>
      </w:pPr>
      <w:bookmarkStart w:id="36" w:name="_Toc54000849"/>
      <w:r>
        <w:lastRenderedPageBreak/>
        <w:t>Appendices</w:t>
      </w:r>
      <w:bookmarkEnd w:id="36"/>
    </w:p>
    <w:p w14:paraId="082678E2" w14:textId="6C078171" w:rsidR="00706E38" w:rsidRDefault="00706E38" w:rsidP="00BA74E2">
      <w:pPr>
        <w:pStyle w:val="Heading3"/>
      </w:pPr>
      <w:bookmarkStart w:id="37" w:name="_Toc54000850"/>
      <w:r>
        <w:t xml:space="preserve">Appendix A </w:t>
      </w:r>
      <w:r w:rsidR="00BA74E2">
        <w:t>-</w:t>
      </w:r>
      <w:r>
        <w:t xml:space="preserve"> Definitions</w:t>
      </w:r>
      <w:bookmarkEnd w:id="37"/>
    </w:p>
    <w:p w14:paraId="28F3D3D5" w14:textId="77777777" w:rsidR="00BA74E2" w:rsidRDefault="00706E38" w:rsidP="00706E38">
      <w:pPr>
        <w:rPr>
          <w:rStyle w:val="Heading4Char"/>
        </w:rPr>
      </w:pPr>
      <w:r w:rsidRPr="00BA74E2">
        <w:rPr>
          <w:rStyle w:val="Heading4Char"/>
        </w:rPr>
        <w:t>ABN (Australian Business Number)</w:t>
      </w:r>
    </w:p>
    <w:p w14:paraId="46F8362A" w14:textId="2D125A63" w:rsidR="00706E38" w:rsidRDefault="00706E38" w:rsidP="00706E38">
      <w:r>
        <w:t>The Australian Business Number is a number used to identify a business or organisation for tax and Australian Government purposes. An ABN for the organisation or for the auspice organisation must be provided in the grant application.</w:t>
      </w:r>
    </w:p>
    <w:p w14:paraId="130A6FEA" w14:textId="77777777" w:rsidR="00BA74E2" w:rsidRDefault="00706E38" w:rsidP="00BA74E2">
      <w:pPr>
        <w:pStyle w:val="Heading4"/>
      </w:pPr>
      <w:r>
        <w:t>Acquittal report</w:t>
      </w:r>
    </w:p>
    <w:p w14:paraId="0D00F3B6" w14:textId="02BE6085" w:rsidR="00706E38" w:rsidRDefault="00706E38" w:rsidP="00706E38">
      <w:r>
        <w:t>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It also provides a financial statement detailing how the funds were spent. Organisations that do not submit their acquittal report will be listed and may not be eligible for further funding from City of Port Phillip.</w:t>
      </w:r>
    </w:p>
    <w:p w14:paraId="70B92A48" w14:textId="77777777" w:rsidR="001813CB" w:rsidRDefault="001813CB" w:rsidP="001813CB">
      <w:pPr>
        <w:pStyle w:val="Heading4"/>
      </w:pPr>
      <w:r>
        <w:t>Auspice</w:t>
      </w:r>
    </w:p>
    <w:p w14:paraId="5C898277" w14:textId="774179AA" w:rsidR="001813CB" w:rsidRDefault="001813CB" w:rsidP="00706E38">
      <w:r>
        <w:t>Any legally constituted body may act as an auspice organisation to partner with,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798E8A90" w14:textId="77777777" w:rsidR="00BA74E2" w:rsidRDefault="00706E38" w:rsidP="00BA74E2">
      <w:pPr>
        <w:pStyle w:val="Heading4"/>
      </w:pPr>
      <w:r>
        <w:t>Conflict of interest</w:t>
      </w:r>
    </w:p>
    <w:p w14:paraId="1FB62285" w14:textId="3D36C774" w:rsidR="00706E38" w:rsidRDefault="00706E38" w:rsidP="00706E38">
      <w:r>
        <w:t>A conflict of interest occurs if a member of the grants assessment panel has something to personally gain from the grant application. It also extends to providing family and close friends with preference.</w:t>
      </w:r>
    </w:p>
    <w:p w14:paraId="6386DAFB" w14:textId="77777777" w:rsidR="00BA74E2" w:rsidRDefault="00706E38" w:rsidP="00BA74E2">
      <w:pPr>
        <w:pStyle w:val="Heading4"/>
      </w:pPr>
      <w:r>
        <w:t>Council</w:t>
      </w:r>
    </w:p>
    <w:p w14:paraId="483D4C5B" w14:textId="77777777" w:rsidR="00A91581" w:rsidRDefault="00706E38" w:rsidP="00A91581">
      <w:r>
        <w:t xml:space="preserve">The City of Port Phillip is defined as a geographical area </w:t>
      </w:r>
      <w:proofErr w:type="gramStart"/>
      <w:r>
        <w:t>and also</w:t>
      </w:r>
      <w:proofErr w:type="gramEnd"/>
      <w:r>
        <w:t xml:space="preserve"> the entity that has the authority to make decisions on behalf of the City of Port Phillip.</w:t>
      </w:r>
    </w:p>
    <w:p w14:paraId="359DCC39" w14:textId="10FCAB1E" w:rsidR="00BA74E2" w:rsidRPr="00A91581" w:rsidRDefault="00706E38" w:rsidP="00A91581">
      <w:pPr>
        <w:rPr>
          <w:b/>
        </w:rPr>
      </w:pPr>
      <w:r w:rsidRPr="00A91581">
        <w:rPr>
          <w:b/>
        </w:rPr>
        <w:t>Funding deed</w:t>
      </w:r>
    </w:p>
    <w:p w14:paraId="675239CB" w14:textId="77777777" w:rsidR="00BA74E2" w:rsidRDefault="00706E38" w:rsidP="00706E38">
      <w:r>
        <w:t xml:space="preserve">A funding deed is a formal document stating the purpose of the funding, the financial amount, and the conditions attached to the grant. It also defines the rights and responsibilities of the grant recipient and Council. </w:t>
      </w:r>
    </w:p>
    <w:p w14:paraId="0B5C5186" w14:textId="01B06653" w:rsidR="00706E38" w:rsidRDefault="00706E38" w:rsidP="00706E38">
      <w:r>
        <w:t>Once signed, recipients are under a legal obligation to comply with the stated terms and conditions. A funding deed will be issued to successful applicants for amounts over $2,000.</w:t>
      </w:r>
    </w:p>
    <w:p w14:paraId="39F349CB" w14:textId="77777777" w:rsidR="00BA74E2" w:rsidRDefault="00706E38" w:rsidP="00BA74E2">
      <w:pPr>
        <w:pStyle w:val="Heading4"/>
      </w:pPr>
      <w:r>
        <w:t>Grant</w:t>
      </w:r>
    </w:p>
    <w:p w14:paraId="6FB02784" w14:textId="70319A24" w:rsidR="00706E38" w:rsidRDefault="00706E38" w:rsidP="00706E38">
      <w:r>
        <w:t>A grant is a sum of money awarded to an organisation for a specified purpose.</w:t>
      </w:r>
    </w:p>
    <w:p w14:paraId="7F516A56" w14:textId="77777777" w:rsidR="00BA74E2" w:rsidRDefault="00706E38" w:rsidP="00BA74E2">
      <w:pPr>
        <w:pStyle w:val="Heading4"/>
      </w:pPr>
      <w:r>
        <w:lastRenderedPageBreak/>
        <w:t>GST (Goods and Services Tax)</w:t>
      </w:r>
    </w:p>
    <w:p w14:paraId="6FFEAACF" w14:textId="77777777" w:rsidR="00BA74E2" w:rsidRDefault="00706E38" w:rsidP="00706E38">
      <w:r>
        <w:t xml:space="preserve">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per cent GST. </w:t>
      </w:r>
    </w:p>
    <w:p w14:paraId="53E8E8BD" w14:textId="71694EBD" w:rsidR="00706E38" w:rsidRDefault="00706E38" w:rsidP="00706E38">
      <w:r>
        <w:t>Successful organisations with an ABN and not registered for GST will not receive their grant.</w:t>
      </w:r>
    </w:p>
    <w:p w14:paraId="7316333B" w14:textId="77777777" w:rsidR="00BA74E2" w:rsidRDefault="00706E38" w:rsidP="00BA74E2">
      <w:pPr>
        <w:pStyle w:val="Heading4"/>
      </w:pPr>
      <w:r>
        <w:t>Incorporated organisation</w:t>
      </w:r>
    </w:p>
    <w:p w14:paraId="05DC807B" w14:textId="166D8CB3" w:rsidR="00706E38" w:rsidRDefault="00706E38" w:rsidP="00706E38">
      <w:r>
        <w:t xml:space="preserve">An organisation that is a legal entity and has a legal structure is Incorporated. The organisation must be registered with Consumer Affairs Victoria. For more information please contact Consumer Affairs Victoria or phone 1300 558 181. </w:t>
      </w:r>
    </w:p>
    <w:p w14:paraId="3CCFA06C" w14:textId="77777777" w:rsidR="001813CB" w:rsidRDefault="001813CB" w:rsidP="001813CB">
      <w:pPr>
        <w:pStyle w:val="Heading4"/>
      </w:pPr>
      <w:r>
        <w:t>In-kind contributions</w:t>
      </w:r>
    </w:p>
    <w:p w14:paraId="03BB7850" w14:textId="717216B0" w:rsidR="001813CB" w:rsidRDefault="001813CB" w:rsidP="00706E38">
      <w:r>
        <w:t>An in-kind contribution is the ‘non-cash’ contribution made by the applicant that can be allocated a financial value, such as volunteer services. Applications with in-kind contribution will be viewed favourably.</w:t>
      </w:r>
    </w:p>
    <w:p w14:paraId="3AE31DDC" w14:textId="77777777" w:rsidR="00BA74E2" w:rsidRDefault="00706E38" w:rsidP="00BA74E2">
      <w:pPr>
        <w:pStyle w:val="Heading4"/>
      </w:pPr>
      <w:r>
        <w:t>Non-compliant</w:t>
      </w:r>
    </w:p>
    <w:p w14:paraId="7739AF32" w14:textId="5C8379C3" w:rsidR="00706E38" w:rsidRDefault="00706E38" w:rsidP="00706E38">
      <w:r>
        <w:t>An organisation may be deemed non-compliant in the circumstances that the recipient:</w:t>
      </w:r>
    </w:p>
    <w:p w14:paraId="7B02FA0F" w14:textId="27430E05" w:rsidR="00706E38" w:rsidRDefault="00706E38" w:rsidP="00630409">
      <w:pPr>
        <w:pStyle w:val="NormalBullets"/>
      </w:pPr>
      <w:r>
        <w:t>failed to meet terms and conditions of funding deed</w:t>
      </w:r>
    </w:p>
    <w:p w14:paraId="3C401D0B" w14:textId="06A6D15D" w:rsidR="00706E38" w:rsidRDefault="00706E38" w:rsidP="00630409">
      <w:pPr>
        <w:pStyle w:val="NormalBullets"/>
      </w:pPr>
      <w:r>
        <w:t>is insolvent</w:t>
      </w:r>
    </w:p>
    <w:p w14:paraId="02A6F1C3" w14:textId="697008E0" w:rsidR="00706E38" w:rsidRDefault="00706E38" w:rsidP="00630409">
      <w:pPr>
        <w:pStyle w:val="NormalBullets"/>
      </w:pPr>
      <w:r>
        <w:t>is under legal investigation</w:t>
      </w:r>
    </w:p>
    <w:p w14:paraId="631D18EF" w14:textId="3AE1F713" w:rsidR="00BA74E2" w:rsidRDefault="00706E38" w:rsidP="00630409">
      <w:pPr>
        <w:pStyle w:val="NormalBullets"/>
      </w:pPr>
      <w:r>
        <w:t xml:space="preserve">failed to lodge a satisfactory acquittal </w:t>
      </w:r>
      <w:r w:rsidR="00C35C94">
        <w:t>–</w:t>
      </w:r>
      <w:r w:rsidR="0083609F">
        <w:t xml:space="preserve"> </w:t>
      </w:r>
      <w:r>
        <w:t>a satisfactory acquittal demonstrates that the selection criteria of the program were met, and the financial expenditure of the project was spent appropriately and unspent funds returned to Council</w:t>
      </w:r>
    </w:p>
    <w:p w14:paraId="1E9C415C" w14:textId="77777777" w:rsidR="00BA74E2" w:rsidRDefault="00706E38" w:rsidP="00630409">
      <w:pPr>
        <w:pStyle w:val="NormalBullets"/>
      </w:pPr>
      <w:r>
        <w:t>did not complete the project and failed to lodge an acquittal</w:t>
      </w:r>
    </w:p>
    <w:p w14:paraId="3AE93055" w14:textId="6B8435B2" w:rsidR="00706E38" w:rsidRDefault="00706E38" w:rsidP="00630409">
      <w:pPr>
        <w:pStyle w:val="NormalBullets"/>
      </w:pPr>
      <w:r>
        <w:t>completed the project and failed to lodge an acquittal.</w:t>
      </w:r>
    </w:p>
    <w:p w14:paraId="56B78542" w14:textId="19B33EDB" w:rsidR="00BA74E2" w:rsidRDefault="00706E38" w:rsidP="00BA74E2">
      <w:pPr>
        <w:pStyle w:val="Heading4"/>
      </w:pPr>
      <w:r>
        <w:t xml:space="preserve">Not for </w:t>
      </w:r>
      <w:r w:rsidR="00755D71">
        <w:t>p</w:t>
      </w:r>
      <w:r>
        <w:t>rofit (</w:t>
      </w:r>
      <w:proofErr w:type="spellStart"/>
      <w:r>
        <w:t>NFP</w:t>
      </w:r>
      <w:proofErr w:type="spellEnd"/>
      <w:r>
        <w:t xml:space="preserve">) </w:t>
      </w:r>
      <w:r w:rsidR="00755D71">
        <w:t>o</w:t>
      </w:r>
      <w:r>
        <w:t>rganisation</w:t>
      </w:r>
    </w:p>
    <w:p w14:paraId="1EEFFA0F" w14:textId="0C2A8831" w:rsidR="00706E38" w:rsidRDefault="00706E38" w:rsidP="00706E38">
      <w:r>
        <w:t>This is an organisation that does not distribute any profit to an individual, its members and or shareholders. Any profit from the organisation will be directed back into the organisation and its activities.</w:t>
      </w:r>
    </w:p>
    <w:p w14:paraId="44749B8E" w14:textId="710E4FCF" w:rsidR="00BA74E2" w:rsidRDefault="00706E38" w:rsidP="00BA74E2">
      <w:pPr>
        <w:pStyle w:val="Heading4"/>
      </w:pPr>
      <w:r>
        <w:t>Objectives</w:t>
      </w:r>
      <w:r w:rsidR="00BA74E2">
        <w:t xml:space="preserve"> or </w:t>
      </w:r>
      <w:r>
        <w:t>aims</w:t>
      </w:r>
    </w:p>
    <w:p w14:paraId="7758C85E" w14:textId="3CB6BB7C" w:rsidR="00706E38" w:rsidRDefault="00706E38" w:rsidP="00BA74E2">
      <w:r>
        <w:t>An objective</w:t>
      </w:r>
      <w:r w:rsidR="00BA74E2">
        <w:t xml:space="preserve"> or </w:t>
      </w:r>
      <w:r>
        <w:t>aim states the overall goals of the project.</w:t>
      </w:r>
    </w:p>
    <w:p w14:paraId="37CB9DB3" w14:textId="77777777" w:rsidR="00BA74E2" w:rsidRDefault="00706E38" w:rsidP="00BA74E2">
      <w:pPr>
        <w:pStyle w:val="Heading4"/>
      </w:pPr>
      <w:r>
        <w:t>Outcomes</w:t>
      </w:r>
    </w:p>
    <w:p w14:paraId="240BC3D3" w14:textId="7BBA5E96" w:rsidR="00706E38" w:rsidRDefault="00706E38" w:rsidP="00706E38">
      <w:r>
        <w:t>Outcomes describe the specific results of the project.</w:t>
      </w:r>
    </w:p>
    <w:p w14:paraId="37C250DC" w14:textId="34A4C776" w:rsidR="00BA74E2" w:rsidRDefault="00706E38" w:rsidP="00BA74E2">
      <w:pPr>
        <w:pStyle w:val="Heading4"/>
      </w:pPr>
      <w:r>
        <w:lastRenderedPageBreak/>
        <w:t>Project Variation Report</w:t>
      </w:r>
    </w:p>
    <w:p w14:paraId="7B046FA3" w14:textId="4D84C68F" w:rsidR="00BA74E2" w:rsidRDefault="00706E38" w:rsidP="00706E38">
      <w:r>
        <w:t>A Project Variation Report is to be submitted ONLY if there is to be a substantial variation or change to the project from the initial project application. Funded organisations wishing to submit a Project Variation Report must first contact the Youth Development and Planning Officer.</w:t>
      </w:r>
    </w:p>
    <w:p w14:paraId="04F822B4" w14:textId="77777777" w:rsidR="001813CB" w:rsidRDefault="001813CB" w:rsidP="001813CB">
      <w:pPr>
        <w:pStyle w:val="Heading4"/>
      </w:pPr>
      <w:r>
        <w:t>Youth Access Grants Program assessment panel</w:t>
      </w:r>
    </w:p>
    <w:p w14:paraId="79C22F6B" w14:textId="1B94ACEC" w:rsidR="001813CB" w:rsidRDefault="001813CB" w:rsidP="00706E38">
      <w:r>
        <w:t>The panel is made up of Council representatives from Youth Services and Community Grants. Care is taken to ensure that representatives do not have a conflict of interest in assessing and recommending grants for funding.</w:t>
      </w:r>
    </w:p>
    <w:p w14:paraId="440F224F" w14:textId="31A82DC2" w:rsidR="00706E38" w:rsidRDefault="00706E38" w:rsidP="00BA74E2">
      <w:pPr>
        <w:pStyle w:val="Heading3"/>
      </w:pPr>
      <w:bookmarkStart w:id="38" w:name="_Toc54000851"/>
      <w:r>
        <w:t xml:space="preserve">Appendix B </w:t>
      </w:r>
      <w:r w:rsidR="00BA74E2">
        <w:t>-</w:t>
      </w:r>
      <w:r>
        <w:t xml:space="preserve"> City of Port Phillip</w:t>
      </w:r>
      <w:bookmarkEnd w:id="38"/>
    </w:p>
    <w:p w14:paraId="13A415DB" w14:textId="42A7297A" w:rsidR="00BA74E2" w:rsidRDefault="00BA74E2" w:rsidP="00706E38">
      <w:r>
        <w:t xml:space="preserve">To view </w:t>
      </w:r>
      <w:r w:rsidR="00706E38">
        <w:t xml:space="preserve">a digital map of Port Phillip, please </w:t>
      </w:r>
      <w:r>
        <w:t>use</w:t>
      </w:r>
      <w:r w:rsidR="00706E38">
        <w:t xml:space="preserve"> </w:t>
      </w:r>
      <w:hyperlink r:id="rId31" w:history="1">
        <w:r w:rsidRPr="00BA74E2">
          <w:rPr>
            <w:rStyle w:val="Hyperlink"/>
          </w:rPr>
          <w:t>Google Maps</w:t>
        </w:r>
      </w:hyperlink>
      <w:r>
        <w:t>.</w:t>
      </w:r>
      <w:r>
        <w:br w:type="page"/>
      </w:r>
    </w:p>
    <w:p w14:paraId="7A5E8EE9" w14:textId="7C464D98" w:rsidR="00706E38" w:rsidRDefault="00706E38" w:rsidP="00BA74E2">
      <w:pPr>
        <w:pStyle w:val="Heading3"/>
      </w:pPr>
      <w:bookmarkStart w:id="39" w:name="_Toc54000852"/>
      <w:r>
        <w:lastRenderedPageBreak/>
        <w:t>Appendix C</w:t>
      </w:r>
      <w:bookmarkEnd w:id="39"/>
    </w:p>
    <w:p w14:paraId="189D7828" w14:textId="77777777" w:rsidR="00706E38" w:rsidRDefault="00706E38" w:rsidP="00BA74E2">
      <w:pPr>
        <w:pStyle w:val="Heading4"/>
      </w:pPr>
      <w:r>
        <w:t>Stream 1: Terms and Conditions</w:t>
      </w:r>
    </w:p>
    <w:p w14:paraId="6C176594" w14:textId="0C7F2005" w:rsidR="00706E38" w:rsidRDefault="00706E38" w:rsidP="00630409">
      <w:pPr>
        <w:pStyle w:val="NormalBullets"/>
      </w:pPr>
      <w:r>
        <w:t>Funding of up t</w:t>
      </w:r>
      <w:r w:rsidR="00755D71">
        <w:t>o</w:t>
      </w:r>
      <w:r>
        <w:t xml:space="preserve"> $500 is available once per financial year</w:t>
      </w:r>
      <w:r w:rsidR="00DE2EBC">
        <w:t>.</w:t>
      </w:r>
    </w:p>
    <w:p w14:paraId="58A0D0CE" w14:textId="4B6123C8" w:rsidR="00706E38" w:rsidRDefault="00706E38" w:rsidP="00630409">
      <w:pPr>
        <w:pStyle w:val="NormalBullets"/>
      </w:pPr>
      <w:r>
        <w:t>Participants must maintain a satisfactory attendance record and accept Terms and Conditions of nominated recreation activity</w:t>
      </w:r>
      <w:r w:rsidR="00DE2EBC">
        <w:t>.</w:t>
      </w:r>
    </w:p>
    <w:p w14:paraId="2C775A5C" w14:textId="68A69CD3" w:rsidR="00706E38" w:rsidRDefault="00706E38" w:rsidP="00630409">
      <w:pPr>
        <w:pStyle w:val="NormalBullets"/>
      </w:pPr>
      <w:r>
        <w:t>Council will not be liable for any injuries sustaine</w:t>
      </w:r>
      <w:r w:rsidR="00BA74E2">
        <w:t>d</w:t>
      </w:r>
      <w:r w:rsidR="00DE2EBC">
        <w:t>.</w:t>
      </w:r>
    </w:p>
    <w:p w14:paraId="79D247FF" w14:textId="5ADB3D71" w:rsidR="00706E38" w:rsidRDefault="00706E38" w:rsidP="00630409">
      <w:pPr>
        <w:pStyle w:val="NormalBullets"/>
      </w:pPr>
      <w:r>
        <w:t>The funding will go directly to the organisation who applied on behalf of the young person. They will manage the funding for the participant</w:t>
      </w:r>
      <w:r w:rsidR="00DE2EBC">
        <w:t>.</w:t>
      </w:r>
    </w:p>
    <w:p w14:paraId="1320F3E8" w14:textId="27D0FC62" w:rsidR="00706E38" w:rsidRDefault="00706E38" w:rsidP="00630409">
      <w:pPr>
        <w:pStyle w:val="NormalBullets"/>
      </w:pPr>
      <w:r>
        <w:t xml:space="preserve">Organisations must ensure that recreation providers meet legislation and regulations requirements relating to child safety before enrolling young people in activities. This includes the </w:t>
      </w:r>
      <w:r w:rsidRPr="00BA74E2">
        <w:rPr>
          <w:i/>
        </w:rPr>
        <w:t>Working with Children Act 2005</w:t>
      </w:r>
      <w:r w:rsidR="00BA74E2" w:rsidRPr="00BA74E2">
        <w:rPr>
          <w:i/>
        </w:rPr>
        <w:t>,</w:t>
      </w:r>
      <w:r w:rsidR="00BA74E2">
        <w:t xml:space="preserve"> </w:t>
      </w:r>
      <w:r w:rsidRPr="001813CB">
        <w:t>Working with Children Regulations 2016</w:t>
      </w:r>
      <w:r>
        <w:t xml:space="preserve"> and </w:t>
      </w:r>
      <w:r w:rsidRPr="001813CB">
        <w:t>Victorian Child Safe Standards</w:t>
      </w:r>
      <w:r>
        <w:t xml:space="preserve"> (CSS)</w:t>
      </w:r>
      <w:r w:rsidR="00DE2EBC">
        <w:t>.</w:t>
      </w:r>
    </w:p>
    <w:p w14:paraId="7239BEE7" w14:textId="36E3F171" w:rsidR="00706E38" w:rsidRDefault="00706E38" w:rsidP="00630409">
      <w:pPr>
        <w:pStyle w:val="NormalBullets"/>
      </w:pPr>
      <w:r>
        <w:t>Funding is not refundable</w:t>
      </w:r>
      <w:r w:rsidR="00DE2EBC">
        <w:t>.</w:t>
      </w:r>
    </w:p>
    <w:p w14:paraId="2C5DA9E4" w14:textId="61B24D7F" w:rsidR="00BA74E2" w:rsidRDefault="00706E38" w:rsidP="00630409">
      <w:pPr>
        <w:pStyle w:val="NormalBullets"/>
      </w:pPr>
      <w:r>
        <w:t>Successful grant applicants and recreation providers must adhere to all government restrictions during the COVID-19 pandemic</w:t>
      </w:r>
      <w:r w:rsidR="00DE2EBC">
        <w:t>.</w:t>
      </w:r>
      <w:r w:rsidR="00BA74E2">
        <w:br w:type="page"/>
      </w:r>
    </w:p>
    <w:p w14:paraId="204B60FA" w14:textId="77777777" w:rsidR="00706E38" w:rsidRDefault="00706E38" w:rsidP="00BA74E2">
      <w:pPr>
        <w:pStyle w:val="Heading4"/>
      </w:pPr>
      <w:r>
        <w:lastRenderedPageBreak/>
        <w:t>Stream 2: Terms and Conditions</w:t>
      </w:r>
    </w:p>
    <w:p w14:paraId="06D425CC" w14:textId="1053EBFD" w:rsidR="00706E38" w:rsidRDefault="00706E38" w:rsidP="00630409">
      <w:pPr>
        <w:pStyle w:val="NormalBullets"/>
      </w:pPr>
      <w:r>
        <w:t>If your application is successful, you will be required to sign and return the Conditions of Funding Agreement</w:t>
      </w:r>
      <w:r w:rsidR="00DE2EBC">
        <w:t>.</w:t>
      </w:r>
    </w:p>
    <w:p w14:paraId="13BAC7D2" w14:textId="7E90FD22" w:rsidR="00706E38" w:rsidRDefault="00706E38" w:rsidP="00630409">
      <w:pPr>
        <w:pStyle w:val="NormalBullets"/>
      </w:pPr>
      <w:r>
        <w:t xml:space="preserve">Funded organisations must provide a Project Acquittal Report four weeks after completion of the project. All reports are to be submitted </w:t>
      </w:r>
      <w:r w:rsidR="00BA74E2">
        <w:t xml:space="preserve">online </w:t>
      </w:r>
      <w:r w:rsidR="00BA74E2" w:rsidRPr="00860B77">
        <w:t xml:space="preserve">with </w:t>
      </w:r>
      <w:hyperlink r:id="rId32" w:history="1">
        <w:r w:rsidR="00BA74E2" w:rsidRPr="00706E38">
          <w:rPr>
            <w:rStyle w:val="Hyperlink"/>
          </w:rPr>
          <w:t>Smarty Grants</w:t>
        </w:r>
      </w:hyperlink>
      <w:r w:rsidR="00DE2EBC">
        <w:rPr>
          <w:rStyle w:val="Hyperlink"/>
        </w:rPr>
        <w:t>.</w:t>
      </w:r>
    </w:p>
    <w:p w14:paraId="7F908C6A" w14:textId="1B4BF259" w:rsidR="00706E38" w:rsidRDefault="00706E38" w:rsidP="00630409">
      <w:pPr>
        <w:pStyle w:val="NormalBullets"/>
      </w:pPr>
      <w:r>
        <w:t>All successful grant applicants will need to adhere to all government restrictions during the COVID-19 pandemic and provide a safe method of delivery during restrictions; for example, an online program</w:t>
      </w:r>
      <w:r w:rsidR="00DE2EBC">
        <w:t>.</w:t>
      </w:r>
    </w:p>
    <w:p w14:paraId="6767C97F" w14:textId="4B9CF083" w:rsidR="00706E38" w:rsidRDefault="00706E38" w:rsidP="00630409">
      <w:pPr>
        <w:pStyle w:val="NormalBullets"/>
      </w:pPr>
      <w:r>
        <w:t>Organisations holding a launch or event for the project for which they have been funded and are planning to invite the Mayor</w:t>
      </w:r>
      <w:r w:rsidR="00BA74E2">
        <w:t xml:space="preserve">, </w:t>
      </w:r>
      <w:r>
        <w:t>Councillors or Council Officers</w:t>
      </w:r>
      <w:r w:rsidR="00BA74E2">
        <w:t xml:space="preserve"> </w:t>
      </w:r>
      <w:r>
        <w:t xml:space="preserve">are required to ensure their invitation is sent at least four weeks before the event. The relevant Council officer must be notified of this invitation. Events must also adhere to all government restrictions during the COVID-19 </w:t>
      </w:r>
      <w:r w:rsidR="00BA74E2">
        <w:t>outbreak</w:t>
      </w:r>
      <w:r w:rsidR="00DE2EBC">
        <w:t>.</w:t>
      </w:r>
    </w:p>
    <w:p w14:paraId="13AA0B3E" w14:textId="5EC3A38F" w:rsidR="00706E38" w:rsidRDefault="00706E38" w:rsidP="00630409">
      <w:pPr>
        <w:pStyle w:val="NormalBullets"/>
      </w:pPr>
      <w:r>
        <w:t>Funded organisations are required to acknowledge City of Port Phillip in all promotional or publicity material for the funded project. The logo must be applied in adherence with the style guide</w:t>
      </w:r>
      <w:r w:rsidR="00DE2EBC">
        <w:t>.</w:t>
      </w:r>
    </w:p>
    <w:p w14:paraId="567B012B" w14:textId="12669A37" w:rsidR="00BA74E2" w:rsidRDefault="00706E38" w:rsidP="00630409">
      <w:pPr>
        <w:pStyle w:val="NormalBullets"/>
      </w:pPr>
      <w:r>
        <w:t>Funding requires compliance with specific conditions prior to payment and verification of ABN and GST status</w:t>
      </w:r>
      <w:r w:rsidR="00DE2EBC">
        <w:t>.</w:t>
      </w:r>
    </w:p>
    <w:p w14:paraId="4947B0B2" w14:textId="4C8535D6" w:rsidR="00706E38" w:rsidRDefault="00706E38" w:rsidP="00630409">
      <w:pPr>
        <w:pStyle w:val="NormalBullets"/>
      </w:pPr>
      <w:r>
        <w:t>The funded organisation must comply with all relevant la</w:t>
      </w:r>
      <w:r w:rsidR="00A91581">
        <w:t>ws and conditions. Significant S</w:t>
      </w:r>
      <w:r>
        <w:t>tate and Commonwealth legislation include:</w:t>
      </w:r>
    </w:p>
    <w:p w14:paraId="5E528543" w14:textId="330B4EFE" w:rsidR="00706E38" w:rsidRDefault="00706E38" w:rsidP="00630409">
      <w:pPr>
        <w:pStyle w:val="NormalBullets"/>
        <w:numPr>
          <w:ilvl w:val="0"/>
          <w:numId w:val="0"/>
        </w:numPr>
        <w:ind w:left="780"/>
      </w:pPr>
      <w:r>
        <w:t>Consumer Affairs Victoria</w:t>
      </w:r>
    </w:p>
    <w:p w14:paraId="1ECF4B0F" w14:textId="4F8E0D07" w:rsidR="00706E38" w:rsidRDefault="00706E38" w:rsidP="00630409">
      <w:pPr>
        <w:pStyle w:val="NormalBullets"/>
        <w:numPr>
          <w:ilvl w:val="0"/>
          <w:numId w:val="0"/>
        </w:numPr>
        <w:ind w:left="780"/>
      </w:pPr>
      <w:r>
        <w:t>Charter of Human Rights and Responsibilities Act 2006</w:t>
      </w:r>
    </w:p>
    <w:p w14:paraId="117F519F" w14:textId="7EF90900" w:rsidR="00706E38" w:rsidRDefault="00706E38" w:rsidP="00630409">
      <w:pPr>
        <w:pStyle w:val="NormalBullets"/>
        <w:numPr>
          <w:ilvl w:val="0"/>
          <w:numId w:val="0"/>
        </w:numPr>
        <w:ind w:left="780"/>
      </w:pPr>
      <w:r>
        <w:t>Child Safe Standards</w:t>
      </w:r>
    </w:p>
    <w:p w14:paraId="5C6B0C10" w14:textId="3B4A7302" w:rsidR="00706E38" w:rsidRDefault="00706E38" w:rsidP="00630409">
      <w:pPr>
        <w:pStyle w:val="NormalBullets"/>
        <w:numPr>
          <w:ilvl w:val="0"/>
          <w:numId w:val="0"/>
        </w:numPr>
        <w:ind w:left="780"/>
      </w:pPr>
      <w:r>
        <w:t>Disability Discrimination Act 1992</w:t>
      </w:r>
    </w:p>
    <w:p w14:paraId="11BAB0B6" w14:textId="3D2A4332" w:rsidR="00706E38" w:rsidRDefault="00706E38" w:rsidP="00630409">
      <w:pPr>
        <w:pStyle w:val="NormalBullets"/>
        <w:numPr>
          <w:ilvl w:val="0"/>
          <w:numId w:val="0"/>
        </w:numPr>
        <w:ind w:left="780"/>
      </w:pPr>
      <w:r>
        <w:t>Equal Opportunity Act 1995</w:t>
      </w:r>
    </w:p>
    <w:p w14:paraId="4219E300" w14:textId="6C17A39C" w:rsidR="00706E38" w:rsidRDefault="00706E38" w:rsidP="00630409">
      <w:pPr>
        <w:pStyle w:val="NormalBullets"/>
        <w:numPr>
          <w:ilvl w:val="0"/>
          <w:numId w:val="0"/>
        </w:numPr>
        <w:ind w:left="780"/>
      </w:pPr>
      <w:r>
        <w:t>Fair Work Act 2009</w:t>
      </w:r>
    </w:p>
    <w:p w14:paraId="76264945" w14:textId="5F96162F" w:rsidR="00706E38" w:rsidRDefault="00706E38" w:rsidP="00630409">
      <w:pPr>
        <w:pStyle w:val="NormalBullets"/>
        <w:numPr>
          <w:ilvl w:val="0"/>
          <w:numId w:val="0"/>
        </w:numPr>
        <w:ind w:left="780"/>
      </w:pPr>
      <w:r>
        <w:t>Privacy and Data Protection Act 2014</w:t>
      </w:r>
    </w:p>
    <w:p w14:paraId="35D5C6D7" w14:textId="52FF4809" w:rsidR="00706E38" w:rsidRDefault="00706E38" w:rsidP="00630409">
      <w:pPr>
        <w:pStyle w:val="NormalBullets"/>
        <w:numPr>
          <w:ilvl w:val="0"/>
          <w:numId w:val="0"/>
        </w:numPr>
        <w:ind w:left="780"/>
      </w:pPr>
      <w:r>
        <w:t>Public Liability Insurance</w:t>
      </w:r>
    </w:p>
    <w:p w14:paraId="6539F9CC" w14:textId="1E3BC097" w:rsidR="00706E38" w:rsidRDefault="00706E38" w:rsidP="00630409">
      <w:pPr>
        <w:pStyle w:val="NormalBullets"/>
        <w:numPr>
          <w:ilvl w:val="0"/>
          <w:numId w:val="0"/>
        </w:numPr>
        <w:ind w:left="780"/>
      </w:pPr>
      <w:r>
        <w:t>Racial and Religious Tolerance Act 2001</w:t>
      </w:r>
    </w:p>
    <w:p w14:paraId="7C310330" w14:textId="42D0A376" w:rsidR="00706E38" w:rsidRDefault="00706E38" w:rsidP="00630409">
      <w:pPr>
        <w:pStyle w:val="NormalBullets"/>
        <w:numPr>
          <w:ilvl w:val="0"/>
          <w:numId w:val="0"/>
        </w:numPr>
        <w:ind w:left="780"/>
      </w:pPr>
      <w:r>
        <w:t>Victorian Disability Act 2006</w:t>
      </w:r>
    </w:p>
    <w:p w14:paraId="7F5440D8" w14:textId="7D373875" w:rsidR="00706E38" w:rsidRDefault="00706E38" w:rsidP="00630409">
      <w:pPr>
        <w:pStyle w:val="NormalBullets"/>
        <w:numPr>
          <w:ilvl w:val="0"/>
          <w:numId w:val="0"/>
        </w:numPr>
        <w:ind w:left="780"/>
      </w:pPr>
      <w:r>
        <w:t>Volunteer Personal Accident Insurance</w:t>
      </w:r>
    </w:p>
    <w:p w14:paraId="21BBCB0B" w14:textId="13CC534B" w:rsidR="00706E38" w:rsidRPr="007670EC" w:rsidRDefault="00706E38" w:rsidP="00630409">
      <w:pPr>
        <w:pStyle w:val="NormalBullets"/>
        <w:numPr>
          <w:ilvl w:val="0"/>
          <w:numId w:val="0"/>
        </w:numPr>
        <w:ind w:left="780"/>
      </w:pPr>
      <w:r>
        <w:t>WorkSafe Victoria</w:t>
      </w:r>
    </w:p>
    <w:sectPr w:rsidR="00706E38" w:rsidRPr="007670EC" w:rsidSect="000E359E">
      <w:headerReference w:type="default" r:id="rId33"/>
      <w:footerReference w:type="default" r:id="rId34"/>
      <w:headerReference w:type="first" r:id="rId3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14D3" w14:textId="77777777" w:rsidR="006F312A" w:rsidRDefault="006F312A" w:rsidP="004D04F4">
      <w:r>
        <w:separator/>
      </w:r>
    </w:p>
  </w:endnote>
  <w:endnote w:type="continuationSeparator" w:id="0">
    <w:p w14:paraId="3B363BC1" w14:textId="77777777" w:rsidR="006F312A" w:rsidRDefault="006F312A"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410024"/>
      <w:docPartObj>
        <w:docPartGallery w:val="Page Numbers (Bottom of Page)"/>
        <w:docPartUnique/>
      </w:docPartObj>
    </w:sdtPr>
    <w:sdtEndPr>
      <w:rPr>
        <w:noProof/>
      </w:rPr>
    </w:sdtEndPr>
    <w:sdtContent>
      <w:p w14:paraId="69028503" w14:textId="5F888821" w:rsidR="006F312A" w:rsidRDefault="006F312A" w:rsidP="002C35D5">
        <w:pPr>
          <w:pStyle w:val="Footer"/>
          <w:jc w:val="right"/>
          <w:rPr>
            <w:noProof/>
          </w:rPr>
        </w:pPr>
        <w:r>
          <w:fldChar w:fldCharType="begin"/>
        </w:r>
        <w:r>
          <w:instrText xml:space="preserve"> PAGE   \* MERGEFORMAT </w:instrText>
        </w:r>
        <w:r>
          <w:fldChar w:fldCharType="separate"/>
        </w:r>
        <w:r w:rsidR="00215147">
          <w:rPr>
            <w:noProof/>
          </w:rPr>
          <w:t>8</w:t>
        </w:r>
        <w:r>
          <w:rPr>
            <w:noProof/>
          </w:rPr>
          <w:fldChar w:fldCharType="end"/>
        </w:r>
      </w:p>
      <w:p w14:paraId="20B5B250" w14:textId="77777777" w:rsidR="006F312A" w:rsidRDefault="001E7126">
        <w:pPr>
          <w:pStyle w:val="Footer"/>
          <w:jc w:val="right"/>
        </w:pPr>
      </w:p>
    </w:sdtContent>
  </w:sdt>
  <w:p w14:paraId="758661F4" w14:textId="77777777" w:rsidR="006F312A" w:rsidRDefault="006F312A"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240E" w14:textId="77777777" w:rsidR="006F312A" w:rsidRDefault="006F312A" w:rsidP="004D04F4">
      <w:r>
        <w:separator/>
      </w:r>
    </w:p>
  </w:footnote>
  <w:footnote w:type="continuationSeparator" w:id="0">
    <w:p w14:paraId="06BA7A76" w14:textId="77777777" w:rsidR="006F312A" w:rsidRDefault="006F312A"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65D5" w14:textId="20E1CB89" w:rsidR="006F312A" w:rsidRDefault="006F312A" w:rsidP="00B35173">
    <w:pPr>
      <w:spacing w:before="700" w:after="120"/>
    </w:pPr>
    <w:r>
      <w:rPr>
        <w:noProof/>
        <w:lang w:eastAsia="en-AU"/>
      </w:rPr>
      <w:drawing>
        <wp:anchor distT="0" distB="0" distL="114300" distR="114300" simplePos="0" relativeHeight="251661312" behindDoc="1" locked="0" layoutInCell="1" allowOverlap="1" wp14:anchorId="6BDF4EC7" wp14:editId="12F14747">
          <wp:simplePos x="0" y="0"/>
          <wp:positionH relativeFrom="column">
            <wp:posOffset>-720090</wp:posOffset>
          </wp:positionH>
          <wp:positionV relativeFrom="paragraph">
            <wp:posOffset>0</wp:posOffset>
          </wp:positionV>
          <wp:extent cx="7559675" cy="719455"/>
          <wp:effectExtent l="0" t="0" r="3175" b="4445"/>
          <wp:wrapNone/>
          <wp:docPr id="255" name="Picture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9455"/>
                  </a:xfrm>
                  <a:prstGeom prst="rect">
                    <a:avLst/>
                  </a:prstGeom>
                </pic:spPr>
              </pic:pic>
            </a:graphicData>
          </a:graphic>
          <wp14:sizeRelH relativeFrom="page">
            <wp14:pctWidth>0</wp14:pctWidth>
          </wp14:sizeRelH>
          <wp14:sizeRelV relativeFrom="page">
            <wp14:pctHeight>0</wp14:pctHeight>
          </wp14:sizeRelV>
        </wp:anchor>
      </w:drawing>
    </w:r>
    <w:r w:rsidRPr="00E00AEE">
      <w:rPr>
        <w:color w:val="FFFFFF" w:themeColor="background1"/>
      </w:rPr>
      <w:t xml:space="preserve">City of Port Phillip </w:t>
    </w:r>
    <w:r w:rsidRPr="00E90476">
      <w:rPr>
        <w:b/>
        <w:bCs/>
        <w:color w:val="FFFFFF" w:themeColor="background1"/>
      </w:rPr>
      <w:t>Youth Access Grants Program Guidelines</w:t>
    </w:r>
    <w:r w:rsidRPr="00E90476">
      <w:rPr>
        <w:noProof/>
        <w:color w:val="FFFFFF" w:themeColor="background1"/>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787A" w14:textId="401AD488" w:rsidR="006F312A" w:rsidRDefault="006F312A" w:rsidP="000E359E">
    <w:pPr>
      <w:pStyle w:val="Header"/>
      <w:ind w:left="-1134" w:right="-1134"/>
    </w:pPr>
    <w:r>
      <w:rPr>
        <w:noProof/>
        <w:lang w:eastAsia="en-AU"/>
      </w:rPr>
      <w:drawing>
        <wp:anchor distT="0" distB="0" distL="114300" distR="114300" simplePos="0" relativeHeight="251663360" behindDoc="1" locked="0" layoutInCell="1" allowOverlap="1" wp14:anchorId="2A35F74B" wp14:editId="04DC4FE2">
          <wp:simplePos x="0" y="0"/>
          <wp:positionH relativeFrom="page">
            <wp:posOffset>10633</wp:posOffset>
          </wp:positionH>
          <wp:positionV relativeFrom="paragraph">
            <wp:posOffset>0</wp:posOffset>
          </wp:positionV>
          <wp:extent cx="7543800" cy="106623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2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31D"/>
    <w:multiLevelType w:val="hybridMultilevel"/>
    <w:tmpl w:val="D0C6B45A"/>
    <w:lvl w:ilvl="0" w:tplc="00FAE8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F2677"/>
    <w:multiLevelType w:val="hybridMultilevel"/>
    <w:tmpl w:val="B9382996"/>
    <w:lvl w:ilvl="0" w:tplc="9BF0C28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35848"/>
    <w:multiLevelType w:val="hybridMultilevel"/>
    <w:tmpl w:val="047454A4"/>
    <w:lvl w:ilvl="0" w:tplc="00FAE8A8">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1F3E03"/>
    <w:multiLevelType w:val="hybridMultilevel"/>
    <w:tmpl w:val="FB602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D44CF0"/>
    <w:multiLevelType w:val="hybridMultilevel"/>
    <w:tmpl w:val="9DA2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A48B1"/>
    <w:multiLevelType w:val="hybridMultilevel"/>
    <w:tmpl w:val="4A1EF426"/>
    <w:lvl w:ilvl="0" w:tplc="5840285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61F0E"/>
    <w:multiLevelType w:val="hybridMultilevel"/>
    <w:tmpl w:val="211E058A"/>
    <w:lvl w:ilvl="0" w:tplc="2488F2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B60D7"/>
    <w:multiLevelType w:val="hybridMultilevel"/>
    <w:tmpl w:val="C5D4CD94"/>
    <w:lvl w:ilvl="0" w:tplc="05B89C14">
      <w:numFmt w:val="bullet"/>
      <w:pStyle w:val="ListParagraph"/>
      <w:lvlText w:val="•"/>
      <w:lvlJc w:val="left"/>
      <w:pPr>
        <w:ind w:left="1134" w:hanging="720"/>
      </w:pPr>
      <w:rPr>
        <w:rFonts w:ascii="Arial" w:eastAsiaTheme="minorHAnsi" w:hAnsi="Arial" w:cs="Aria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0C1DB1"/>
    <w:multiLevelType w:val="hybridMultilevel"/>
    <w:tmpl w:val="872AEB7A"/>
    <w:lvl w:ilvl="0" w:tplc="00FAE8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B66A0"/>
    <w:multiLevelType w:val="hybridMultilevel"/>
    <w:tmpl w:val="AFF845FC"/>
    <w:lvl w:ilvl="0" w:tplc="25B8662C">
      <w:start w:val="1"/>
      <w:numFmt w:val="bullet"/>
      <w:lvlText w:val=""/>
      <w:lvlJc w:val="left"/>
      <w:pPr>
        <w:ind w:left="720" w:hanging="360"/>
      </w:pPr>
      <w:rPr>
        <w:rFonts w:ascii="Symbol" w:hAnsi="Symbol" w:hint="default"/>
      </w:rPr>
    </w:lvl>
    <w:lvl w:ilvl="1" w:tplc="AE70A0B2">
      <w:start w:val="1"/>
      <w:numFmt w:val="bullet"/>
      <w:lvlText w:val="o"/>
      <w:lvlJc w:val="left"/>
      <w:pPr>
        <w:ind w:left="1440" w:hanging="360"/>
      </w:pPr>
      <w:rPr>
        <w:rFonts w:ascii="Courier New" w:hAnsi="Courier New" w:cs="Courier New" w:hint="default"/>
      </w:rPr>
    </w:lvl>
    <w:lvl w:ilvl="2" w:tplc="2BCCB5E6">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E29A8"/>
    <w:multiLevelType w:val="hybridMultilevel"/>
    <w:tmpl w:val="D8861CF2"/>
    <w:lvl w:ilvl="0" w:tplc="BA5AB3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CA39C6"/>
    <w:multiLevelType w:val="hybridMultilevel"/>
    <w:tmpl w:val="2FD20E04"/>
    <w:lvl w:ilvl="0" w:tplc="C3180C1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C0F3E"/>
    <w:multiLevelType w:val="hybridMultilevel"/>
    <w:tmpl w:val="E57AFF6E"/>
    <w:lvl w:ilvl="0" w:tplc="C3180C1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70AC9"/>
    <w:multiLevelType w:val="hybridMultilevel"/>
    <w:tmpl w:val="14C08506"/>
    <w:lvl w:ilvl="0" w:tplc="00FAE8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A19D2"/>
    <w:multiLevelType w:val="hybridMultilevel"/>
    <w:tmpl w:val="492688FC"/>
    <w:lvl w:ilvl="0" w:tplc="2488F2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87D33"/>
    <w:multiLevelType w:val="hybridMultilevel"/>
    <w:tmpl w:val="318C1E58"/>
    <w:lvl w:ilvl="0" w:tplc="7466FF98">
      <w:start w:val="1"/>
      <w:numFmt w:val="bullet"/>
      <w:pStyle w:val="NormalBullets"/>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E8946CD"/>
    <w:multiLevelType w:val="hybridMultilevel"/>
    <w:tmpl w:val="50204062"/>
    <w:lvl w:ilvl="0" w:tplc="4518F9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CF613D"/>
    <w:multiLevelType w:val="hybridMultilevel"/>
    <w:tmpl w:val="DBB66160"/>
    <w:lvl w:ilvl="0" w:tplc="7892D73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865D9"/>
    <w:multiLevelType w:val="hybridMultilevel"/>
    <w:tmpl w:val="1E2252D4"/>
    <w:lvl w:ilvl="0" w:tplc="5840285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A313B8"/>
    <w:multiLevelType w:val="hybridMultilevel"/>
    <w:tmpl w:val="F34EB9C2"/>
    <w:lvl w:ilvl="0" w:tplc="00FAE8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8211EF"/>
    <w:multiLevelType w:val="hybridMultilevel"/>
    <w:tmpl w:val="6EBC7F34"/>
    <w:lvl w:ilvl="0" w:tplc="00FAE8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5465AE"/>
    <w:multiLevelType w:val="hybridMultilevel"/>
    <w:tmpl w:val="3A461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5" w15:restartNumberingAfterBreak="0">
    <w:nsid w:val="5D2B71A6"/>
    <w:multiLevelType w:val="hybridMultilevel"/>
    <w:tmpl w:val="46B624BC"/>
    <w:lvl w:ilvl="0" w:tplc="7B2A94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580F72"/>
    <w:multiLevelType w:val="hybridMultilevel"/>
    <w:tmpl w:val="CAD045D8"/>
    <w:lvl w:ilvl="0" w:tplc="E3003AB6">
      <w:start w:val="1"/>
      <w:numFmt w:val="bullet"/>
      <w:pStyle w:val="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D123B"/>
    <w:multiLevelType w:val="hybridMultilevel"/>
    <w:tmpl w:val="1054E81A"/>
    <w:lvl w:ilvl="0" w:tplc="0C090001">
      <w:start w:val="1"/>
      <w:numFmt w:val="bullet"/>
      <w:lvlText w:val=""/>
      <w:lvlJc w:val="left"/>
      <w:pPr>
        <w:ind w:left="720" w:hanging="360"/>
      </w:pPr>
      <w:rPr>
        <w:rFonts w:ascii="Symbol" w:hAnsi="Symbol" w:hint="default"/>
      </w:rPr>
    </w:lvl>
    <w:lvl w:ilvl="1" w:tplc="DFF4164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37508"/>
    <w:multiLevelType w:val="hybridMultilevel"/>
    <w:tmpl w:val="156294A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9" w15:restartNumberingAfterBreak="0">
    <w:nsid w:val="6C81594C"/>
    <w:multiLevelType w:val="hybridMultilevel"/>
    <w:tmpl w:val="1A2EB650"/>
    <w:lvl w:ilvl="0" w:tplc="00FAE8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FB06FC"/>
    <w:multiLevelType w:val="hybridMultilevel"/>
    <w:tmpl w:val="27101B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137836"/>
    <w:multiLevelType w:val="hybridMultilevel"/>
    <w:tmpl w:val="86CE110E"/>
    <w:lvl w:ilvl="0" w:tplc="5840285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9174A9"/>
    <w:multiLevelType w:val="hybridMultilevel"/>
    <w:tmpl w:val="91A8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10"/>
  </w:num>
  <w:num w:numId="5">
    <w:abstractNumId w:val="23"/>
  </w:num>
  <w:num w:numId="6">
    <w:abstractNumId w:val="16"/>
  </w:num>
  <w:num w:numId="7">
    <w:abstractNumId w:val="6"/>
  </w:num>
  <w:num w:numId="8">
    <w:abstractNumId w:val="19"/>
  </w:num>
  <w:num w:numId="9">
    <w:abstractNumId w:val="14"/>
  </w:num>
  <w:num w:numId="10">
    <w:abstractNumId w:val="12"/>
  </w:num>
  <w:num w:numId="11">
    <w:abstractNumId w:val="25"/>
  </w:num>
  <w:num w:numId="12">
    <w:abstractNumId w:val="3"/>
  </w:num>
  <w:num w:numId="13">
    <w:abstractNumId w:val="28"/>
  </w:num>
  <w:num w:numId="14">
    <w:abstractNumId w:val="32"/>
  </w:num>
  <w:num w:numId="15">
    <w:abstractNumId w:val="15"/>
  </w:num>
  <w:num w:numId="16">
    <w:abstractNumId w:val="2"/>
  </w:num>
  <w:num w:numId="17">
    <w:abstractNumId w:val="9"/>
  </w:num>
  <w:num w:numId="18">
    <w:abstractNumId w:val="29"/>
  </w:num>
  <w:num w:numId="19">
    <w:abstractNumId w:val="0"/>
  </w:num>
  <w:num w:numId="20">
    <w:abstractNumId w:val="22"/>
  </w:num>
  <w:num w:numId="21">
    <w:abstractNumId w:val="21"/>
  </w:num>
  <w:num w:numId="22">
    <w:abstractNumId w:val="27"/>
  </w:num>
  <w:num w:numId="23">
    <w:abstractNumId w:val="4"/>
  </w:num>
  <w:num w:numId="24">
    <w:abstractNumId w:val="18"/>
  </w:num>
  <w:num w:numId="25">
    <w:abstractNumId w:val="1"/>
  </w:num>
  <w:num w:numId="26">
    <w:abstractNumId w:val="30"/>
  </w:num>
  <w:num w:numId="27">
    <w:abstractNumId w:val="5"/>
  </w:num>
  <w:num w:numId="28">
    <w:abstractNumId w:val="20"/>
  </w:num>
  <w:num w:numId="29">
    <w:abstractNumId w:val="31"/>
  </w:num>
  <w:num w:numId="30">
    <w:abstractNumId w:val="7"/>
  </w:num>
  <w:num w:numId="31">
    <w:abstractNumId w:val="11"/>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1B"/>
    <w:rsid w:val="00005DB0"/>
    <w:rsid w:val="000223D4"/>
    <w:rsid w:val="00022F70"/>
    <w:rsid w:val="00023557"/>
    <w:rsid w:val="000562E3"/>
    <w:rsid w:val="00064170"/>
    <w:rsid w:val="00095352"/>
    <w:rsid w:val="00095C72"/>
    <w:rsid w:val="000C1550"/>
    <w:rsid w:val="000E2E87"/>
    <w:rsid w:val="000E359E"/>
    <w:rsid w:val="0011519C"/>
    <w:rsid w:val="00122996"/>
    <w:rsid w:val="0014053B"/>
    <w:rsid w:val="00177F3D"/>
    <w:rsid w:val="001813CB"/>
    <w:rsid w:val="001971F3"/>
    <w:rsid w:val="001A3AAA"/>
    <w:rsid w:val="001D3172"/>
    <w:rsid w:val="001D644C"/>
    <w:rsid w:val="001E3369"/>
    <w:rsid w:val="001E7126"/>
    <w:rsid w:val="001E7EE5"/>
    <w:rsid w:val="001F2780"/>
    <w:rsid w:val="001F6F66"/>
    <w:rsid w:val="002135B1"/>
    <w:rsid w:val="00215147"/>
    <w:rsid w:val="00231013"/>
    <w:rsid w:val="00250FE6"/>
    <w:rsid w:val="00256EC2"/>
    <w:rsid w:val="00262255"/>
    <w:rsid w:val="0026397D"/>
    <w:rsid w:val="002731C6"/>
    <w:rsid w:val="002835CE"/>
    <w:rsid w:val="002A38C8"/>
    <w:rsid w:val="002B588B"/>
    <w:rsid w:val="002B6F34"/>
    <w:rsid w:val="002C2DC8"/>
    <w:rsid w:val="002C35D5"/>
    <w:rsid w:val="002D35F3"/>
    <w:rsid w:val="003118DB"/>
    <w:rsid w:val="00314001"/>
    <w:rsid w:val="00314B9E"/>
    <w:rsid w:val="00333F5C"/>
    <w:rsid w:val="00337762"/>
    <w:rsid w:val="0038193B"/>
    <w:rsid w:val="003B5074"/>
    <w:rsid w:val="003B6584"/>
    <w:rsid w:val="003E382A"/>
    <w:rsid w:val="003F2ABE"/>
    <w:rsid w:val="003F504B"/>
    <w:rsid w:val="00414DCD"/>
    <w:rsid w:val="004201F9"/>
    <w:rsid w:val="00432A94"/>
    <w:rsid w:val="00441ABB"/>
    <w:rsid w:val="00447FDE"/>
    <w:rsid w:val="00450755"/>
    <w:rsid w:val="00465F07"/>
    <w:rsid w:val="004A5F59"/>
    <w:rsid w:val="004D04F4"/>
    <w:rsid w:val="004D1EDE"/>
    <w:rsid w:val="005333A2"/>
    <w:rsid w:val="0054748F"/>
    <w:rsid w:val="00555212"/>
    <w:rsid w:val="005562D0"/>
    <w:rsid w:val="0056061A"/>
    <w:rsid w:val="005833BC"/>
    <w:rsid w:val="00600F9C"/>
    <w:rsid w:val="006036A7"/>
    <w:rsid w:val="00604795"/>
    <w:rsid w:val="00620F2A"/>
    <w:rsid w:val="00630409"/>
    <w:rsid w:val="006359CE"/>
    <w:rsid w:val="00656265"/>
    <w:rsid w:val="00656F41"/>
    <w:rsid w:val="00660C9C"/>
    <w:rsid w:val="00666626"/>
    <w:rsid w:val="006718E3"/>
    <w:rsid w:val="006868D5"/>
    <w:rsid w:val="006A35A9"/>
    <w:rsid w:val="006C3343"/>
    <w:rsid w:val="006C36A6"/>
    <w:rsid w:val="006D52E7"/>
    <w:rsid w:val="006F312A"/>
    <w:rsid w:val="006F3BAB"/>
    <w:rsid w:val="006F78D0"/>
    <w:rsid w:val="00706E38"/>
    <w:rsid w:val="00747E5F"/>
    <w:rsid w:val="00754C3A"/>
    <w:rsid w:val="00755D71"/>
    <w:rsid w:val="007670EC"/>
    <w:rsid w:val="00783005"/>
    <w:rsid w:val="007A019C"/>
    <w:rsid w:val="007A7290"/>
    <w:rsid w:val="007F5EF9"/>
    <w:rsid w:val="007F6187"/>
    <w:rsid w:val="00800773"/>
    <w:rsid w:val="008340A7"/>
    <w:rsid w:val="0083609F"/>
    <w:rsid w:val="008427AE"/>
    <w:rsid w:val="00876819"/>
    <w:rsid w:val="00891B28"/>
    <w:rsid w:val="008A304C"/>
    <w:rsid w:val="008C7205"/>
    <w:rsid w:val="008E2ED5"/>
    <w:rsid w:val="008F32B5"/>
    <w:rsid w:val="008F32FA"/>
    <w:rsid w:val="009258CB"/>
    <w:rsid w:val="00951A5B"/>
    <w:rsid w:val="00953923"/>
    <w:rsid w:val="00964956"/>
    <w:rsid w:val="00971FE5"/>
    <w:rsid w:val="009728DF"/>
    <w:rsid w:val="009901DE"/>
    <w:rsid w:val="00993001"/>
    <w:rsid w:val="0099794F"/>
    <w:rsid w:val="009A034E"/>
    <w:rsid w:val="009E1C37"/>
    <w:rsid w:val="009E4C42"/>
    <w:rsid w:val="00A01C63"/>
    <w:rsid w:val="00A0621B"/>
    <w:rsid w:val="00A176C9"/>
    <w:rsid w:val="00A23726"/>
    <w:rsid w:val="00A5780A"/>
    <w:rsid w:val="00A63FBF"/>
    <w:rsid w:val="00A74CDF"/>
    <w:rsid w:val="00A86131"/>
    <w:rsid w:val="00A91581"/>
    <w:rsid w:val="00AA5B67"/>
    <w:rsid w:val="00AB2E8A"/>
    <w:rsid w:val="00AC35E1"/>
    <w:rsid w:val="00AE4A2F"/>
    <w:rsid w:val="00B11BCB"/>
    <w:rsid w:val="00B25C72"/>
    <w:rsid w:val="00B35173"/>
    <w:rsid w:val="00B61A84"/>
    <w:rsid w:val="00B7315B"/>
    <w:rsid w:val="00BA74E2"/>
    <w:rsid w:val="00C002F2"/>
    <w:rsid w:val="00C27F38"/>
    <w:rsid w:val="00C35C94"/>
    <w:rsid w:val="00C52278"/>
    <w:rsid w:val="00C61154"/>
    <w:rsid w:val="00CB1CA2"/>
    <w:rsid w:val="00CB6FDF"/>
    <w:rsid w:val="00D00834"/>
    <w:rsid w:val="00D05074"/>
    <w:rsid w:val="00D11697"/>
    <w:rsid w:val="00D224DE"/>
    <w:rsid w:val="00D327D7"/>
    <w:rsid w:val="00D750EF"/>
    <w:rsid w:val="00DA788E"/>
    <w:rsid w:val="00DB4FCE"/>
    <w:rsid w:val="00DE2EBC"/>
    <w:rsid w:val="00DF181C"/>
    <w:rsid w:val="00E431BC"/>
    <w:rsid w:val="00E547FB"/>
    <w:rsid w:val="00E64960"/>
    <w:rsid w:val="00E90476"/>
    <w:rsid w:val="00EC718E"/>
    <w:rsid w:val="00EE3FC9"/>
    <w:rsid w:val="00F23A27"/>
    <w:rsid w:val="00F31366"/>
    <w:rsid w:val="00F33395"/>
    <w:rsid w:val="00F4453F"/>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724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F2ABE"/>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1A3AAA"/>
    <w:pPr>
      <w:outlineLvl w:val="1"/>
    </w:pPr>
    <w:rPr>
      <w:b/>
      <w:color w:val="005467"/>
      <w:sz w:val="36"/>
      <w:szCs w:val="32"/>
    </w:rPr>
  </w:style>
  <w:style w:type="paragraph" w:styleId="Heading3">
    <w:name w:val="heading 3"/>
    <w:basedOn w:val="Normal"/>
    <w:next w:val="Normal"/>
    <w:link w:val="Heading3Char"/>
    <w:autoRedefine/>
    <w:uiPriority w:val="9"/>
    <w:unhideWhenUsed/>
    <w:qFormat/>
    <w:rsid w:val="00706E38"/>
    <w:pPr>
      <w:keepNext/>
      <w:keepLines/>
      <w:spacing w:before="32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D224DE"/>
    <w:rPr>
      <w:rFonts w:ascii="Arial" w:hAnsi="Arial"/>
      <w:b/>
      <w:bCs/>
      <w:i/>
      <w:iCs/>
      <w:noProof w:val="0"/>
      <w:spacing w:val="5"/>
      <w:sz w:val="24"/>
      <w:lang w:val="en-AU"/>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1A3AAA"/>
    <w:rPr>
      <w:rFonts w:ascii="Arial" w:hAnsi="Arial" w:cs="Arial"/>
      <w:b/>
      <w:color w:val="005467"/>
      <w:sz w:val="36"/>
      <w:szCs w:val="32"/>
    </w:rPr>
  </w:style>
  <w:style w:type="character" w:customStyle="1" w:styleId="Heading3Char">
    <w:name w:val="Heading 3 Char"/>
    <w:basedOn w:val="DefaultParagraphFont"/>
    <w:link w:val="Heading3"/>
    <w:uiPriority w:val="9"/>
    <w:rsid w:val="00706E38"/>
    <w:rPr>
      <w:rFonts w:ascii="Arial" w:eastAsiaTheme="majorEastAsia" w:hAnsi="Arial" w:cstheme="majorBidi"/>
      <w:b/>
      <w:color w:val="005467"/>
      <w:sz w:val="28"/>
      <w:szCs w:val="28"/>
    </w:rPr>
  </w:style>
  <w:style w:type="paragraph" w:styleId="ListParagraph">
    <w:name w:val="List Paragraph"/>
    <w:basedOn w:val="NormalBullets"/>
    <w:autoRedefine/>
    <w:uiPriority w:val="34"/>
    <w:qFormat/>
    <w:rsid w:val="00706E38"/>
    <w:pPr>
      <w:numPr>
        <w:numId w:val="30"/>
      </w:numPr>
    </w:p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D224DE"/>
    <w:rPr>
      <w:rFonts w:ascii="Arial" w:hAnsi="Arial"/>
      <w:i/>
      <w:iCs/>
      <w:noProof w:val="0"/>
      <w:color w:val="404040" w:themeColor="text1" w:themeTint="BF"/>
      <w:lang w:val="en-AU"/>
    </w:rPr>
  </w:style>
  <w:style w:type="character" w:styleId="IntenseEmphasis">
    <w:name w:val="Intense Emphasis"/>
    <w:basedOn w:val="DefaultParagraphFont"/>
    <w:uiPriority w:val="21"/>
    <w:rsid w:val="00D224DE"/>
    <w:rPr>
      <w:rFonts w:ascii="Arial" w:hAnsi="Arial"/>
      <w:i/>
      <w:iCs/>
      <w:noProof w:val="0"/>
      <w:color w:val="C45911" w:themeColor="accent2" w:themeShade="BF"/>
      <w:lang w:val="en-AU"/>
    </w:rPr>
  </w:style>
  <w:style w:type="character" w:styleId="Strong">
    <w:name w:val="Strong"/>
    <w:basedOn w:val="DefaultParagraphFont"/>
    <w:uiPriority w:val="22"/>
    <w:rsid w:val="00D224DE"/>
    <w:rPr>
      <w:rFonts w:ascii="Arial" w:hAnsi="Arial"/>
      <w:b/>
      <w:bCs/>
      <w:noProof w:val="0"/>
      <w:lang w:val="en-AU"/>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D224DE"/>
    <w:rPr>
      <w:rFonts w:ascii="Arial" w:hAnsi="Arial"/>
      <w:b/>
      <w:bCs/>
      <w:caps w:val="0"/>
      <w:smallCaps w:val="0"/>
      <w:noProof w:val="0"/>
      <w:color w:val="005467"/>
      <w:spacing w:val="5"/>
      <w:sz w:val="22"/>
      <w:lang w:val="en-AU"/>
    </w:rPr>
  </w:style>
  <w:style w:type="character" w:styleId="SubtleReference">
    <w:name w:val="Subtle Reference"/>
    <w:basedOn w:val="DefaultParagraphFont"/>
    <w:uiPriority w:val="31"/>
    <w:rsid w:val="00D224DE"/>
    <w:rPr>
      <w:rFonts w:ascii="Arial" w:hAnsi="Arial"/>
      <w:b/>
      <w:caps w:val="0"/>
      <w:smallCaps w:val="0"/>
      <w:noProof w:val="0"/>
      <w:vanish w:val="0"/>
      <w:color w:val="5A5A5A" w:themeColor="text1" w:themeTint="A5"/>
      <w:lang w:val="en-AU"/>
    </w:rPr>
  </w:style>
  <w:style w:type="character" w:styleId="Emphasis">
    <w:name w:val="Emphasis"/>
    <w:basedOn w:val="DefaultParagraphFont"/>
    <w:uiPriority w:val="20"/>
    <w:rsid w:val="00D224DE"/>
    <w:rPr>
      <w:rFonts w:ascii="Arial" w:hAnsi="Arial"/>
      <w:i/>
      <w:iCs/>
      <w:noProof w:val="0"/>
      <w:lang w:val="en-AU"/>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D224DE"/>
    <w:rPr>
      <w:noProof w:val="0"/>
      <w:color w:val="0563C1" w:themeColor="hyperlink"/>
      <w:u w:val="single"/>
      <w:lang w:val="en-AU"/>
    </w:rPr>
  </w:style>
  <w:style w:type="paragraph" w:customStyle="1" w:styleId="Title1">
    <w:name w:val="Title 1"/>
    <w:basedOn w:val="Normal"/>
    <w:link w:val="Title1Char"/>
    <w:qFormat/>
    <w:rsid w:val="003118DB"/>
    <w:pPr>
      <w:tabs>
        <w:tab w:val="left" w:pos="-3060"/>
        <w:tab w:val="left" w:pos="-2340"/>
        <w:tab w:val="left" w:pos="6300"/>
      </w:tabs>
      <w:suppressAutoHyphens/>
      <w:spacing w:before="200" w:after="240" w:line="240" w:lineRule="auto"/>
      <w:outlineLvl w:val="0"/>
    </w:pPr>
    <w:rPr>
      <w:rFonts w:eastAsia="Times New Roman"/>
      <w:b/>
      <w:color w:val="FFFFFF" w:themeColor="background1"/>
      <w:sz w:val="80"/>
      <w:szCs w:val="80"/>
      <w:lang w:eastAsia="en-AU"/>
    </w:rPr>
  </w:style>
  <w:style w:type="character" w:customStyle="1" w:styleId="Title1Char">
    <w:name w:val="Title 1 Char"/>
    <w:basedOn w:val="DefaultParagraphFont"/>
    <w:link w:val="Title1"/>
    <w:rsid w:val="003118DB"/>
    <w:rPr>
      <w:rFonts w:ascii="Arial" w:eastAsia="Times New Roman" w:hAnsi="Arial" w:cs="Arial"/>
      <w:b/>
      <w:color w:val="FFFFFF" w:themeColor="background1"/>
      <w:sz w:val="80"/>
      <w:szCs w:val="80"/>
      <w:lang w:eastAsia="en-AU"/>
    </w:rPr>
  </w:style>
  <w:style w:type="paragraph" w:customStyle="1" w:styleId="NormalBullets">
    <w:name w:val="Normal Bullets"/>
    <w:basedOn w:val="Normal"/>
    <w:link w:val="NormalBulletsChar"/>
    <w:autoRedefine/>
    <w:qFormat/>
    <w:rsid w:val="00630409"/>
    <w:pPr>
      <w:numPr>
        <w:numId w:val="32"/>
      </w:numPr>
      <w:tabs>
        <w:tab w:val="right" w:pos="8931"/>
      </w:tabs>
      <w:spacing w:after="120"/>
    </w:pPr>
    <w:rPr>
      <w:rFonts w:eastAsia="Calibri"/>
      <w:iCs/>
      <w:color w:val="auto"/>
      <w:lang w:eastAsia="en-AU"/>
    </w:rPr>
  </w:style>
  <w:style w:type="character" w:customStyle="1" w:styleId="NormalBulletsChar">
    <w:name w:val="Normal Bullets Char"/>
    <w:basedOn w:val="DefaultParagraphFont"/>
    <w:link w:val="NormalBullets"/>
    <w:rsid w:val="00630409"/>
    <w:rPr>
      <w:rFonts w:ascii="Arial" w:eastAsia="Calibri" w:hAnsi="Arial" w:cs="Arial"/>
      <w:iCs/>
      <w:lang w:eastAsia="en-AU"/>
    </w:rPr>
  </w:style>
  <w:style w:type="paragraph" w:customStyle="1" w:styleId="Title2">
    <w:name w:val="Title 2"/>
    <w:basedOn w:val="Normal"/>
    <w:link w:val="Title2Char"/>
    <w:autoRedefine/>
    <w:qFormat/>
    <w:rsid w:val="00D224DE"/>
    <w:pPr>
      <w:tabs>
        <w:tab w:val="left" w:pos="-3060"/>
        <w:tab w:val="left" w:pos="-2340"/>
        <w:tab w:val="left" w:pos="6300"/>
      </w:tabs>
      <w:suppressAutoHyphens/>
      <w:spacing w:after="120" w:line="240" w:lineRule="auto"/>
    </w:pPr>
    <w:rPr>
      <w:rFonts w:eastAsia="Times New Roman"/>
      <w:sz w:val="40"/>
      <w:szCs w:val="40"/>
      <w:lang w:eastAsia="en-AU"/>
    </w:rPr>
  </w:style>
  <w:style w:type="character" w:customStyle="1" w:styleId="Title2Char">
    <w:name w:val="Title 2 Char"/>
    <w:basedOn w:val="DefaultParagraphFont"/>
    <w:link w:val="Title2"/>
    <w:rsid w:val="00D224DE"/>
    <w:rPr>
      <w:rFonts w:ascii="Arial" w:eastAsia="Times New Roman" w:hAnsi="Arial" w:cs="Arial"/>
      <w:color w:val="000000" w:themeColor="text1"/>
      <w:sz w:val="40"/>
      <w:szCs w:val="40"/>
      <w:lang w:eastAsia="en-AU"/>
    </w:rPr>
  </w:style>
  <w:style w:type="paragraph" w:styleId="TOC3">
    <w:name w:val="toc 3"/>
    <w:basedOn w:val="Normal"/>
    <w:next w:val="Normal"/>
    <w:autoRedefine/>
    <w:uiPriority w:val="39"/>
    <w:unhideWhenUsed/>
    <w:rsid w:val="00D224DE"/>
    <w:pPr>
      <w:tabs>
        <w:tab w:val="right" w:leader="dot" w:pos="9488"/>
      </w:tabs>
      <w:suppressAutoHyphens/>
      <w:spacing w:after="100" w:line="240" w:lineRule="auto"/>
      <w:ind w:left="440"/>
    </w:pPr>
    <w:rPr>
      <w:rFonts w:eastAsia="Times New Roman"/>
      <w:lang w:eastAsia="en-AU"/>
    </w:rPr>
  </w:style>
  <w:style w:type="paragraph" w:styleId="TOC2">
    <w:name w:val="toc 2"/>
    <w:basedOn w:val="Normal"/>
    <w:next w:val="Normal"/>
    <w:autoRedefine/>
    <w:uiPriority w:val="39"/>
    <w:unhideWhenUsed/>
    <w:rsid w:val="00D224DE"/>
    <w:pPr>
      <w:tabs>
        <w:tab w:val="right" w:leader="dot" w:pos="9488"/>
      </w:tabs>
      <w:suppressAutoHyphens/>
      <w:spacing w:after="100" w:line="240" w:lineRule="auto"/>
    </w:pPr>
    <w:rPr>
      <w:rFonts w:eastAsia="Times New Roman"/>
      <w:lang w:eastAsia="en-AU"/>
    </w:rPr>
  </w:style>
  <w:style w:type="paragraph" w:styleId="NoSpacing">
    <w:name w:val="No Spacing"/>
    <w:uiPriority w:val="1"/>
    <w:rsid w:val="00D224DE"/>
    <w:pPr>
      <w:spacing w:after="0" w:line="240" w:lineRule="auto"/>
    </w:pPr>
    <w:rPr>
      <w:rFonts w:ascii="Arial" w:hAnsi="Arial" w:cs="Arial"/>
      <w:color w:val="000000" w:themeColor="text1"/>
    </w:rPr>
  </w:style>
  <w:style w:type="paragraph" w:styleId="BalloonText">
    <w:name w:val="Balloon Text"/>
    <w:basedOn w:val="Normal"/>
    <w:link w:val="BalloonTextChar"/>
    <w:uiPriority w:val="99"/>
    <w:semiHidden/>
    <w:unhideWhenUsed/>
    <w:rsid w:val="00D2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DE"/>
    <w:rPr>
      <w:rFonts w:ascii="Segoe UI" w:hAnsi="Segoe UI" w:cs="Segoe UI"/>
      <w:color w:val="000000" w:themeColor="text1"/>
      <w:sz w:val="18"/>
      <w:szCs w:val="18"/>
    </w:rPr>
  </w:style>
  <w:style w:type="table" w:customStyle="1" w:styleId="ListTable2-Accent511">
    <w:name w:val="List Table 2 - Accent 511"/>
    <w:basedOn w:val="TableNormal"/>
    <w:next w:val="ListTable2-Accent5"/>
    <w:uiPriority w:val="47"/>
    <w:rsid w:val="00D224D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224D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DefaultParagraphFont"/>
    <w:uiPriority w:val="99"/>
    <w:semiHidden/>
    <w:unhideWhenUsed/>
    <w:rsid w:val="000562E3"/>
    <w:rPr>
      <w:color w:val="605E5C"/>
      <w:shd w:val="clear" w:color="auto" w:fill="E1DFDD"/>
    </w:rPr>
  </w:style>
  <w:style w:type="paragraph" w:styleId="Caption">
    <w:name w:val="caption"/>
    <w:basedOn w:val="Normal"/>
    <w:next w:val="Normal"/>
    <w:uiPriority w:val="35"/>
    <w:unhideWhenUsed/>
    <w:qFormat/>
    <w:rsid w:val="0031400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427AE"/>
    <w:rPr>
      <w:sz w:val="16"/>
      <w:szCs w:val="16"/>
    </w:rPr>
  </w:style>
  <w:style w:type="paragraph" w:styleId="CommentText">
    <w:name w:val="annotation text"/>
    <w:basedOn w:val="Normal"/>
    <w:link w:val="CommentTextChar"/>
    <w:uiPriority w:val="99"/>
    <w:semiHidden/>
    <w:unhideWhenUsed/>
    <w:rsid w:val="008427AE"/>
    <w:pPr>
      <w:spacing w:line="240" w:lineRule="auto"/>
    </w:pPr>
    <w:rPr>
      <w:sz w:val="20"/>
      <w:szCs w:val="20"/>
    </w:rPr>
  </w:style>
  <w:style w:type="character" w:customStyle="1" w:styleId="CommentTextChar">
    <w:name w:val="Comment Text Char"/>
    <w:basedOn w:val="DefaultParagraphFont"/>
    <w:link w:val="CommentText"/>
    <w:uiPriority w:val="99"/>
    <w:semiHidden/>
    <w:rsid w:val="008427AE"/>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427AE"/>
    <w:rPr>
      <w:b/>
      <w:bCs/>
    </w:rPr>
  </w:style>
  <w:style w:type="character" w:customStyle="1" w:styleId="CommentSubjectChar">
    <w:name w:val="Comment Subject Char"/>
    <w:basedOn w:val="CommentTextChar"/>
    <w:link w:val="CommentSubject"/>
    <w:uiPriority w:val="99"/>
    <w:semiHidden/>
    <w:rsid w:val="008427AE"/>
    <w:rPr>
      <w:rFonts w:ascii="Arial" w:hAnsi="Arial" w:cs="Arial"/>
      <w:b/>
      <w:bCs/>
      <w:color w:val="000000" w:themeColor="text1"/>
      <w:sz w:val="20"/>
      <w:szCs w:val="20"/>
    </w:rPr>
  </w:style>
  <w:style w:type="paragraph" w:customStyle="1" w:styleId="Tablelist">
    <w:name w:val="Table list"/>
    <w:basedOn w:val="NormalBullets"/>
    <w:autoRedefine/>
    <w:qFormat/>
    <w:rsid w:val="003B6584"/>
    <w:pPr>
      <w:numPr>
        <w:numId w:val="33"/>
      </w:numPr>
      <w:spacing w:before="120"/>
    </w:pPr>
  </w:style>
  <w:style w:type="paragraph" w:styleId="TOC1">
    <w:name w:val="toc 1"/>
    <w:basedOn w:val="Normal"/>
    <w:next w:val="Normal"/>
    <w:autoRedefine/>
    <w:uiPriority w:val="39"/>
    <w:unhideWhenUsed/>
    <w:rsid w:val="009A034E"/>
    <w:pPr>
      <w:spacing w:after="100"/>
    </w:pPr>
  </w:style>
  <w:style w:type="paragraph" w:styleId="TableofFigures">
    <w:name w:val="table of figures"/>
    <w:basedOn w:val="Normal"/>
    <w:next w:val="Normal"/>
    <w:uiPriority w:val="99"/>
    <w:unhideWhenUsed/>
    <w:rsid w:val="009A034E"/>
    <w:pPr>
      <w:spacing w:after="0"/>
    </w:pPr>
  </w:style>
  <w:style w:type="character" w:styleId="FollowedHyperlink">
    <w:name w:val="FollowedHyperlink"/>
    <w:basedOn w:val="DefaultParagraphFont"/>
    <w:uiPriority w:val="99"/>
    <w:semiHidden/>
    <w:unhideWhenUsed/>
    <w:rsid w:val="00686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52102">
      <w:bodyDiv w:val="1"/>
      <w:marLeft w:val="0"/>
      <w:marRight w:val="0"/>
      <w:marTop w:val="0"/>
      <w:marBottom w:val="0"/>
      <w:divBdr>
        <w:top w:val="none" w:sz="0" w:space="0" w:color="auto"/>
        <w:left w:val="none" w:sz="0" w:space="0" w:color="auto"/>
        <w:bottom w:val="none" w:sz="0" w:space="0" w:color="auto"/>
        <w:right w:val="none" w:sz="0" w:space="0" w:color="auto"/>
      </w:divBdr>
    </w:div>
    <w:div w:id="15319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ybooking.com/BLNYB" TargetMode="External"/><Relationship Id="rId18" Type="http://schemas.openxmlformats.org/officeDocument/2006/relationships/hyperlink" Target="mailto:youthaccessgrants@portphillip.vic.gov.au" TargetMode="External"/><Relationship Id="rId26" Type="http://schemas.openxmlformats.org/officeDocument/2006/relationships/hyperlink" Target="mailto:youthaccessgrants@portphillip.vic.gov.au" TargetMode="External"/><Relationship Id="rId3" Type="http://schemas.openxmlformats.org/officeDocument/2006/relationships/customXml" Target="../customXml/item3.xml"/><Relationship Id="rId21" Type="http://schemas.openxmlformats.org/officeDocument/2006/relationships/hyperlink" Target="https://www.portphillip.vic.gov.au/about-the-council/council-plan-and-budge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rybooking.com/BLNYG" TargetMode="External"/><Relationship Id="rId17" Type="http://schemas.openxmlformats.org/officeDocument/2006/relationships/hyperlink" Target="https://applicanthelp.smartygrants.com.au/applicant-faq's/" TargetMode="External"/><Relationship Id="rId25" Type="http://schemas.openxmlformats.org/officeDocument/2006/relationships/hyperlink" Target="https://www.sustainableportphillip.com/our-strateg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icanthelp.smartygrants.com.au/help-guide-for-applicants/" TargetMode="External"/><Relationship Id="rId20" Type="http://schemas.openxmlformats.org/officeDocument/2006/relationships/hyperlink" Target="tel:1300558181" TargetMode="External"/><Relationship Id="rId29" Type="http://schemas.openxmlformats.org/officeDocument/2006/relationships/hyperlink" Target="mailto:youthaccessgrants@portphilli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thaccessgrants@portphillip.vic.gov.au" TargetMode="External"/><Relationship Id="rId24" Type="http://schemas.openxmlformats.org/officeDocument/2006/relationships/hyperlink" Target="https://ccyp.vic.gov.au/child-safety/being-a-child-safe-organisation/the-child-safe-standards/" TargetMode="External"/><Relationship Id="rId32" Type="http://schemas.openxmlformats.org/officeDocument/2006/relationships/hyperlink" Target="https://portphillip.smartygrants.com.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phillip.smartygrants.com.au/" TargetMode="External"/><Relationship Id="rId23" Type="http://schemas.openxmlformats.org/officeDocument/2006/relationships/hyperlink" Target="https://www.portphillip.vic.gov.au/council-services/family-youth-and-children/child-safe-standards" TargetMode="External"/><Relationship Id="rId28" Type="http://schemas.openxmlformats.org/officeDocument/2006/relationships/hyperlink" Target="https://www.nfplaw.org.au/auspic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sumer.vic.gov.au/" TargetMode="External"/><Relationship Id="rId31" Type="http://schemas.openxmlformats.org/officeDocument/2006/relationships/hyperlink" Target="https://goo.gl/maps/1F2PRGqQx2gV8zS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youth-access-grants" TargetMode="External"/><Relationship Id="rId22" Type="http://schemas.openxmlformats.org/officeDocument/2006/relationships/hyperlink" Target="https://www.and.org.au/pages/event-checklist.html" TargetMode="External"/><Relationship Id="rId27" Type="http://schemas.openxmlformats.org/officeDocument/2006/relationships/hyperlink" Target="https://portphillip.smartygrants.com.au/" TargetMode="External"/><Relationship Id="rId30" Type="http://schemas.openxmlformats.org/officeDocument/2006/relationships/hyperlink" Target="https://portphillip.smartygrants.com.au/"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iffin\Downloads\CoPP-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13" ma:contentTypeDescription="Create a new document." ma:contentTypeScope="" ma:versionID="5866cf7c88889bb41b66a5bbc36a23e1">
  <xsd:schema xmlns:xsd="http://www.w3.org/2001/XMLSchema" xmlns:xs="http://www.w3.org/2001/XMLSchema" xmlns:p="http://schemas.microsoft.com/office/2006/metadata/properties" xmlns:ns3="c164c72c-724a-47f6-9ecf-c8e46406e3d6" xmlns:ns4="6ac6aca1-e0fd-4bde-b791-5001efc739f2" targetNamespace="http://schemas.microsoft.com/office/2006/metadata/properties" ma:root="true" ma:fieldsID="c76216467cc3492f78f9f11c2d6e6de1" ns3:_="" ns4:_="">
    <xsd:import namespace="c164c72c-724a-47f6-9ecf-c8e46406e3d6"/>
    <xsd:import namespace="6ac6aca1-e0fd-4bde-b791-5001efc739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6aca1-e0fd-4bde-b791-5001efc739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BF86-4DCF-4D19-8273-379432748385}">
  <ds:schemaRefs>
    <ds:schemaRef ds:uri="http://schemas.microsoft.com/sharepoint/v3/contenttype/forms"/>
  </ds:schemaRefs>
</ds:datastoreItem>
</file>

<file path=customXml/itemProps2.xml><?xml version="1.0" encoding="utf-8"?>
<ds:datastoreItem xmlns:ds="http://schemas.openxmlformats.org/officeDocument/2006/customXml" ds:itemID="{11BC41E9-1D2D-4353-8CC0-F0769313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6ac6aca1-e0fd-4bde-b791-5001efc73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AF998-B28C-4B26-8290-20CF90D5FB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E2FDF-2A57-43B3-9693-1B869C8D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CoPP-report-template.dotx</Template>
  <TotalTime>0</TotalTime>
  <Pages>19</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CoPP Youth Access Grants Program Guidelines</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Youth Access Grants Program Guidelines</dc:title>
  <dc:subject/>
  <dc:creator/>
  <cp:keywords/>
  <dc:description/>
  <cp:lastModifiedBy/>
  <cp:revision>1</cp:revision>
  <dcterms:created xsi:type="dcterms:W3CDTF">2020-10-15T05:05:00Z</dcterms:created>
  <dcterms:modified xsi:type="dcterms:W3CDTF">2020-12-08T05:04:00Z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y fmtid="{D5CDD505-2E9C-101B-9397-08002B2CF9AE}" pid="3" name="NXPowerLiteLastOptimized">
    <vt:lpwstr>93313</vt:lpwstr>
  </property>
  <property fmtid="{D5CDD505-2E9C-101B-9397-08002B2CF9AE}" pid="4" name="NXPowerLiteSettings">
    <vt:lpwstr>C7000400038000</vt:lpwstr>
  </property>
  <property fmtid="{D5CDD505-2E9C-101B-9397-08002B2CF9AE}" pid="5" name="NXPowerLiteVersion">
    <vt:lpwstr>S9.0.1</vt:lpwstr>
  </property>
</Properties>
</file>