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652D" w14:textId="0E1AB5DC" w:rsidR="002C4219" w:rsidRPr="003C4C2D" w:rsidRDefault="415FA696" w:rsidP="34EBE9C9">
      <w:pPr>
        <w:pStyle w:val="TITLE1"/>
        <w:spacing w:before="1701"/>
        <w:rPr>
          <w:b w:val="0"/>
          <w:color w:val="auto"/>
          <w:sz w:val="60"/>
          <w:szCs w:val="60"/>
        </w:rPr>
      </w:pPr>
      <w:bookmarkStart w:id="0" w:name="_Toc235521243"/>
      <w:r w:rsidRPr="34EBE9C9">
        <w:rPr>
          <w:b w:val="0"/>
          <w:color w:val="auto"/>
          <w:sz w:val="60"/>
          <w:szCs w:val="60"/>
        </w:rPr>
        <w:t>Cultural Development Fund</w:t>
      </w:r>
      <w:bookmarkEnd w:id="0"/>
    </w:p>
    <w:p w14:paraId="6B94AB45" w14:textId="3F2F33E8" w:rsidR="00964956" w:rsidRDefault="002C4219" w:rsidP="007F539A">
      <w:pPr>
        <w:pStyle w:val="Title2"/>
        <w:rPr>
          <w:sz w:val="60"/>
          <w:szCs w:val="60"/>
        </w:rPr>
      </w:pPr>
      <w:r w:rsidRPr="007F539A">
        <w:rPr>
          <w:sz w:val="60"/>
          <w:szCs w:val="60"/>
        </w:rPr>
        <w:t xml:space="preserve">Festivals and Events Grants Guidelines </w:t>
      </w:r>
      <w:r w:rsidR="00964956" w:rsidRPr="007F539A">
        <w:rPr>
          <w:sz w:val="60"/>
          <w:szCs w:val="60"/>
        </w:rPr>
        <w:br w:type="page"/>
      </w:r>
    </w:p>
    <w:p w14:paraId="386D6748" w14:textId="54150581" w:rsidR="00843C7A" w:rsidRDefault="00843C7A" w:rsidP="007F539A">
      <w:pPr>
        <w:pStyle w:val="Title2"/>
        <w:rPr>
          <w:sz w:val="60"/>
          <w:szCs w:val="60"/>
        </w:rPr>
      </w:pPr>
      <w:r>
        <w:rPr>
          <w:color w:val="00B4A5"/>
          <w:szCs w:val="24"/>
        </w:rPr>
        <w:lastRenderedPageBreak/>
        <w:drawing>
          <wp:anchor distT="0" distB="0" distL="114300" distR="114300" simplePos="0" relativeHeight="251658240" behindDoc="0" locked="1" layoutInCell="1" allowOverlap="1" wp14:anchorId="4580FA15" wp14:editId="7208E5D4">
            <wp:simplePos x="0" y="0"/>
            <wp:positionH relativeFrom="margin">
              <wp:posOffset>-53340</wp:posOffset>
            </wp:positionH>
            <wp:positionV relativeFrom="page">
              <wp:posOffset>1358900</wp:posOffset>
            </wp:positionV>
            <wp:extent cx="5619750" cy="7947660"/>
            <wp:effectExtent l="0" t="0" r="0" b="0"/>
            <wp:wrapNone/>
            <wp:doc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pic:cNvPicPr/>
                  </pic:nvPicPr>
                  <pic:blipFill>
                    <a:blip r:embed="rId11"/>
                    <a:stretch>
                      <a:fillRect/>
                    </a:stretch>
                  </pic:blipFill>
                  <pic:spPr>
                    <a:xfrm>
                      <a:off x="0" y="0"/>
                      <a:ext cx="5619750" cy="7947660"/>
                    </a:xfrm>
                    <a:prstGeom prst="rect">
                      <a:avLst/>
                    </a:prstGeom>
                  </pic:spPr>
                </pic:pic>
              </a:graphicData>
            </a:graphic>
            <wp14:sizeRelH relativeFrom="margin">
              <wp14:pctWidth>0</wp14:pctWidth>
            </wp14:sizeRelH>
            <wp14:sizeRelV relativeFrom="margin">
              <wp14:pctHeight>0</wp14:pctHeight>
            </wp14:sizeRelV>
          </wp:anchor>
        </w:drawing>
      </w:r>
    </w:p>
    <w:p w14:paraId="6A4FFDC0" w14:textId="77777777" w:rsidR="00843C7A" w:rsidRDefault="00843C7A" w:rsidP="007F539A">
      <w:pPr>
        <w:pStyle w:val="Title2"/>
        <w:rPr>
          <w:sz w:val="60"/>
          <w:szCs w:val="60"/>
        </w:rPr>
      </w:pPr>
    </w:p>
    <w:p w14:paraId="75218498" w14:textId="77777777" w:rsidR="00843C7A" w:rsidRDefault="00843C7A" w:rsidP="007F539A">
      <w:pPr>
        <w:pStyle w:val="Title2"/>
        <w:rPr>
          <w:sz w:val="60"/>
          <w:szCs w:val="60"/>
        </w:rPr>
      </w:pPr>
    </w:p>
    <w:p w14:paraId="79878340" w14:textId="77777777" w:rsidR="00843C7A" w:rsidRDefault="00843C7A" w:rsidP="007F539A">
      <w:pPr>
        <w:pStyle w:val="Title2"/>
        <w:rPr>
          <w:sz w:val="60"/>
          <w:szCs w:val="60"/>
        </w:rPr>
      </w:pPr>
    </w:p>
    <w:p w14:paraId="7F391CB6" w14:textId="77777777" w:rsidR="00843C7A" w:rsidRDefault="00843C7A" w:rsidP="007F539A">
      <w:pPr>
        <w:pStyle w:val="Title2"/>
        <w:rPr>
          <w:sz w:val="60"/>
          <w:szCs w:val="60"/>
        </w:rPr>
      </w:pPr>
    </w:p>
    <w:p w14:paraId="64372A65" w14:textId="77777777" w:rsidR="00843C7A" w:rsidRDefault="00843C7A" w:rsidP="007F539A">
      <w:pPr>
        <w:pStyle w:val="Title2"/>
        <w:rPr>
          <w:sz w:val="60"/>
          <w:szCs w:val="60"/>
        </w:rPr>
      </w:pPr>
    </w:p>
    <w:p w14:paraId="5CE5C37B" w14:textId="77777777" w:rsidR="00843C7A" w:rsidRDefault="00843C7A" w:rsidP="007F539A">
      <w:pPr>
        <w:pStyle w:val="Title2"/>
        <w:rPr>
          <w:sz w:val="60"/>
          <w:szCs w:val="60"/>
        </w:rPr>
      </w:pPr>
    </w:p>
    <w:p w14:paraId="28D3061F" w14:textId="77777777" w:rsidR="00843C7A" w:rsidRDefault="00843C7A" w:rsidP="007F539A">
      <w:pPr>
        <w:pStyle w:val="Title2"/>
        <w:rPr>
          <w:sz w:val="60"/>
          <w:szCs w:val="60"/>
        </w:rPr>
      </w:pPr>
    </w:p>
    <w:p w14:paraId="58643E28" w14:textId="77777777" w:rsidR="00843C7A" w:rsidRDefault="00843C7A" w:rsidP="007F539A">
      <w:pPr>
        <w:pStyle w:val="Title2"/>
        <w:rPr>
          <w:sz w:val="60"/>
          <w:szCs w:val="60"/>
        </w:rPr>
      </w:pPr>
    </w:p>
    <w:p w14:paraId="68D164EC" w14:textId="77777777" w:rsidR="00843C7A" w:rsidRDefault="00843C7A" w:rsidP="007F539A">
      <w:pPr>
        <w:pStyle w:val="Title2"/>
        <w:rPr>
          <w:sz w:val="60"/>
          <w:szCs w:val="60"/>
        </w:rPr>
      </w:pPr>
    </w:p>
    <w:p w14:paraId="24D84362" w14:textId="77777777" w:rsidR="00843C7A" w:rsidRDefault="00843C7A" w:rsidP="007F539A">
      <w:pPr>
        <w:pStyle w:val="Title2"/>
        <w:rPr>
          <w:sz w:val="60"/>
          <w:szCs w:val="60"/>
        </w:rPr>
      </w:pPr>
    </w:p>
    <w:p w14:paraId="1D92EDEB" w14:textId="77777777" w:rsidR="00843C7A" w:rsidRDefault="00843C7A" w:rsidP="007F539A">
      <w:pPr>
        <w:pStyle w:val="Title2"/>
        <w:rPr>
          <w:sz w:val="60"/>
          <w:szCs w:val="60"/>
        </w:rPr>
      </w:pPr>
    </w:p>
    <w:p w14:paraId="1C55F121" w14:textId="77777777" w:rsidR="00843C7A" w:rsidRDefault="00843C7A" w:rsidP="007F539A">
      <w:pPr>
        <w:pStyle w:val="Title2"/>
        <w:rPr>
          <w:sz w:val="60"/>
          <w:szCs w:val="60"/>
        </w:rPr>
      </w:pPr>
    </w:p>
    <w:p w14:paraId="1067112A" w14:textId="77777777" w:rsidR="00843C7A" w:rsidRDefault="00843C7A" w:rsidP="007F539A">
      <w:pPr>
        <w:pStyle w:val="Title2"/>
        <w:rPr>
          <w:sz w:val="60"/>
          <w:szCs w:val="60"/>
        </w:rPr>
      </w:pPr>
    </w:p>
    <w:p w14:paraId="6B678F84" w14:textId="77777777" w:rsidR="00843C7A" w:rsidRDefault="00843C7A" w:rsidP="007F539A">
      <w:pPr>
        <w:pStyle w:val="Title2"/>
        <w:rPr>
          <w:sz w:val="60"/>
          <w:szCs w:val="60"/>
        </w:rPr>
      </w:pPr>
    </w:p>
    <w:p w14:paraId="4C7F8B6F" w14:textId="77777777" w:rsidR="00843C7A" w:rsidRPr="007F539A" w:rsidRDefault="00843C7A" w:rsidP="007F539A">
      <w:pPr>
        <w:pStyle w:val="Title2"/>
        <w:rPr>
          <w:sz w:val="60"/>
          <w:szCs w:val="60"/>
        </w:rPr>
      </w:pPr>
    </w:p>
    <w:sdt>
      <w:sdtPr>
        <w:rPr>
          <w:rFonts w:ascii="Arial" w:eastAsiaTheme="minorEastAsia" w:hAnsi="Arial" w:cs="Arial"/>
          <w:color w:val="000000" w:themeColor="text1"/>
          <w:sz w:val="24"/>
          <w:szCs w:val="24"/>
          <w:lang w:val="en-AU"/>
        </w:rPr>
        <w:id w:val="1207528003"/>
        <w:docPartObj>
          <w:docPartGallery w:val="Table of Contents"/>
          <w:docPartUnique/>
        </w:docPartObj>
      </w:sdtPr>
      <w:sdtEndPr>
        <w:rPr>
          <w:b/>
          <w:bCs/>
          <w:noProof/>
        </w:rPr>
      </w:sdtEndPr>
      <w:sdtContent>
        <w:p w14:paraId="2DF15239" w14:textId="63B2CE62" w:rsidR="00F957EA" w:rsidRDefault="00F957EA">
          <w:pPr>
            <w:pStyle w:val="TOCHeading"/>
          </w:pPr>
          <w:r>
            <w:t>Contents</w:t>
          </w:r>
        </w:p>
        <w:p w14:paraId="06F0531D" w14:textId="4C5A8D2A" w:rsidR="00841967" w:rsidRDefault="00F957EA">
          <w:pPr>
            <w:pStyle w:val="TOC1"/>
            <w:rPr>
              <w:rFonts w:asciiTheme="minorHAnsi" w:eastAsiaTheme="minorEastAsia" w:hAnsiTheme="minorHAnsi" w:cstheme="minorBidi"/>
              <w:noProof/>
              <w:color w:val="auto"/>
              <w:kern w:val="2"/>
              <w:szCs w:val="24"/>
              <w:lang w:eastAsia="en-AU"/>
              <w14:ligatures w14:val="standardContextual"/>
            </w:rPr>
          </w:pPr>
          <w:r>
            <w:fldChar w:fldCharType="begin"/>
          </w:r>
          <w:r>
            <w:instrText>TOC \o "1-3" \z \u \h</w:instrText>
          </w:r>
          <w:r>
            <w:fldChar w:fldCharType="separate"/>
          </w:r>
          <w:hyperlink w:anchor="_Toc235521243" w:history="1">
            <w:r w:rsidR="00841967" w:rsidRPr="00BD47C5">
              <w:rPr>
                <w:rStyle w:val="Hyperlink"/>
                <w:noProof/>
              </w:rPr>
              <w:t>Cultural Development Fund</w:t>
            </w:r>
            <w:r w:rsidR="00841967">
              <w:rPr>
                <w:noProof/>
                <w:webHidden/>
              </w:rPr>
              <w:tab/>
            </w:r>
            <w:r w:rsidR="00841967">
              <w:rPr>
                <w:noProof/>
                <w:webHidden/>
              </w:rPr>
              <w:fldChar w:fldCharType="begin"/>
            </w:r>
            <w:r w:rsidR="00841967">
              <w:rPr>
                <w:noProof/>
                <w:webHidden/>
              </w:rPr>
              <w:instrText xml:space="preserve"> PAGEREF _Toc235521243 \h </w:instrText>
            </w:r>
            <w:r w:rsidR="00841967">
              <w:rPr>
                <w:noProof/>
                <w:webHidden/>
              </w:rPr>
            </w:r>
            <w:r w:rsidR="00841967">
              <w:rPr>
                <w:noProof/>
                <w:webHidden/>
              </w:rPr>
              <w:fldChar w:fldCharType="separate"/>
            </w:r>
            <w:r w:rsidR="00280C72">
              <w:rPr>
                <w:noProof/>
                <w:webHidden/>
              </w:rPr>
              <w:t>1</w:t>
            </w:r>
            <w:r w:rsidR="00841967">
              <w:rPr>
                <w:noProof/>
                <w:webHidden/>
              </w:rPr>
              <w:fldChar w:fldCharType="end"/>
            </w:r>
          </w:hyperlink>
        </w:p>
        <w:p w14:paraId="4CB1351C" w14:textId="7EE14363"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44" w:history="1">
            <w:r w:rsidRPr="00BD47C5">
              <w:rPr>
                <w:rStyle w:val="Hyperlink"/>
                <w:noProof/>
              </w:rPr>
              <w:t>Acknowledgment of Country</w:t>
            </w:r>
            <w:r>
              <w:rPr>
                <w:noProof/>
                <w:webHidden/>
              </w:rPr>
              <w:tab/>
            </w:r>
            <w:r>
              <w:rPr>
                <w:noProof/>
                <w:webHidden/>
              </w:rPr>
              <w:fldChar w:fldCharType="begin"/>
            </w:r>
            <w:r>
              <w:rPr>
                <w:noProof/>
                <w:webHidden/>
              </w:rPr>
              <w:instrText xml:space="preserve"> PAGEREF _Toc235521244 \h </w:instrText>
            </w:r>
            <w:r>
              <w:rPr>
                <w:noProof/>
                <w:webHidden/>
              </w:rPr>
            </w:r>
            <w:r>
              <w:rPr>
                <w:noProof/>
                <w:webHidden/>
              </w:rPr>
              <w:fldChar w:fldCharType="separate"/>
            </w:r>
            <w:r w:rsidR="00280C72">
              <w:rPr>
                <w:noProof/>
                <w:webHidden/>
              </w:rPr>
              <w:t>5</w:t>
            </w:r>
            <w:r>
              <w:rPr>
                <w:noProof/>
                <w:webHidden/>
              </w:rPr>
              <w:fldChar w:fldCharType="end"/>
            </w:r>
          </w:hyperlink>
        </w:p>
        <w:p w14:paraId="454F4824" w14:textId="01DB0A44"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45" w:history="1">
            <w:r w:rsidRPr="00BD47C5">
              <w:rPr>
                <w:rStyle w:val="Hyperlink"/>
                <w:noProof/>
              </w:rPr>
              <w:t>Introduction to Cultural Development Fund</w:t>
            </w:r>
            <w:r>
              <w:rPr>
                <w:noProof/>
                <w:webHidden/>
              </w:rPr>
              <w:tab/>
            </w:r>
            <w:r>
              <w:rPr>
                <w:noProof/>
                <w:webHidden/>
              </w:rPr>
              <w:fldChar w:fldCharType="begin"/>
            </w:r>
            <w:r>
              <w:rPr>
                <w:noProof/>
                <w:webHidden/>
              </w:rPr>
              <w:instrText xml:space="preserve"> PAGEREF _Toc235521245 \h </w:instrText>
            </w:r>
            <w:r>
              <w:rPr>
                <w:noProof/>
                <w:webHidden/>
              </w:rPr>
            </w:r>
            <w:r>
              <w:rPr>
                <w:noProof/>
                <w:webHidden/>
              </w:rPr>
              <w:fldChar w:fldCharType="separate"/>
            </w:r>
            <w:r w:rsidR="00280C72">
              <w:rPr>
                <w:noProof/>
                <w:webHidden/>
              </w:rPr>
              <w:t>5</w:t>
            </w:r>
            <w:r>
              <w:rPr>
                <w:noProof/>
                <w:webHidden/>
              </w:rPr>
              <w:fldChar w:fldCharType="end"/>
            </w:r>
          </w:hyperlink>
        </w:p>
        <w:p w14:paraId="0D8F662C" w14:textId="7A59FBB8"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46" w:history="1">
            <w:r w:rsidRPr="00BD47C5">
              <w:rPr>
                <w:rStyle w:val="Hyperlink"/>
                <w:noProof/>
              </w:rPr>
              <w:t>Grant objectives</w:t>
            </w:r>
            <w:r>
              <w:rPr>
                <w:noProof/>
                <w:webHidden/>
              </w:rPr>
              <w:tab/>
            </w:r>
            <w:r>
              <w:rPr>
                <w:noProof/>
                <w:webHidden/>
              </w:rPr>
              <w:fldChar w:fldCharType="begin"/>
            </w:r>
            <w:r>
              <w:rPr>
                <w:noProof/>
                <w:webHidden/>
              </w:rPr>
              <w:instrText xml:space="preserve"> PAGEREF _Toc235521246 \h </w:instrText>
            </w:r>
            <w:r>
              <w:rPr>
                <w:noProof/>
                <w:webHidden/>
              </w:rPr>
            </w:r>
            <w:r>
              <w:rPr>
                <w:noProof/>
                <w:webHidden/>
              </w:rPr>
              <w:fldChar w:fldCharType="separate"/>
            </w:r>
            <w:r w:rsidR="00280C72">
              <w:rPr>
                <w:noProof/>
                <w:webHidden/>
              </w:rPr>
              <w:t>5</w:t>
            </w:r>
            <w:r>
              <w:rPr>
                <w:noProof/>
                <w:webHidden/>
              </w:rPr>
              <w:fldChar w:fldCharType="end"/>
            </w:r>
          </w:hyperlink>
        </w:p>
        <w:p w14:paraId="514F5856" w14:textId="3F124075"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47" w:history="1">
            <w:r w:rsidRPr="00BD47C5">
              <w:rPr>
                <w:rStyle w:val="Hyperlink"/>
                <w:noProof/>
              </w:rPr>
              <w:t>Council priorities</w:t>
            </w:r>
            <w:r>
              <w:rPr>
                <w:noProof/>
                <w:webHidden/>
              </w:rPr>
              <w:tab/>
            </w:r>
            <w:r>
              <w:rPr>
                <w:noProof/>
                <w:webHidden/>
              </w:rPr>
              <w:fldChar w:fldCharType="begin"/>
            </w:r>
            <w:r>
              <w:rPr>
                <w:noProof/>
                <w:webHidden/>
              </w:rPr>
              <w:instrText xml:space="preserve"> PAGEREF _Toc235521247 \h </w:instrText>
            </w:r>
            <w:r>
              <w:rPr>
                <w:noProof/>
                <w:webHidden/>
              </w:rPr>
            </w:r>
            <w:r>
              <w:rPr>
                <w:noProof/>
                <w:webHidden/>
              </w:rPr>
              <w:fldChar w:fldCharType="separate"/>
            </w:r>
            <w:r w:rsidR="00280C72">
              <w:rPr>
                <w:noProof/>
                <w:webHidden/>
              </w:rPr>
              <w:t>5</w:t>
            </w:r>
            <w:r>
              <w:rPr>
                <w:noProof/>
                <w:webHidden/>
              </w:rPr>
              <w:fldChar w:fldCharType="end"/>
            </w:r>
          </w:hyperlink>
        </w:p>
        <w:p w14:paraId="6BFCB77A" w14:textId="34751077"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48" w:history="1">
            <w:r w:rsidRPr="00BD47C5">
              <w:rPr>
                <w:rStyle w:val="Hyperlink"/>
                <w:noProof/>
              </w:rPr>
              <w:t>Guiding Council Strategy</w:t>
            </w:r>
            <w:r>
              <w:rPr>
                <w:noProof/>
                <w:webHidden/>
              </w:rPr>
              <w:tab/>
            </w:r>
            <w:r>
              <w:rPr>
                <w:noProof/>
                <w:webHidden/>
              </w:rPr>
              <w:fldChar w:fldCharType="begin"/>
            </w:r>
            <w:r>
              <w:rPr>
                <w:noProof/>
                <w:webHidden/>
              </w:rPr>
              <w:instrText xml:space="preserve"> PAGEREF _Toc235521248 \h </w:instrText>
            </w:r>
            <w:r>
              <w:rPr>
                <w:noProof/>
                <w:webHidden/>
              </w:rPr>
            </w:r>
            <w:r>
              <w:rPr>
                <w:noProof/>
                <w:webHidden/>
              </w:rPr>
              <w:fldChar w:fldCharType="separate"/>
            </w:r>
            <w:r w:rsidR="00280C72">
              <w:rPr>
                <w:noProof/>
                <w:webHidden/>
              </w:rPr>
              <w:t>6</w:t>
            </w:r>
            <w:r>
              <w:rPr>
                <w:noProof/>
                <w:webHidden/>
              </w:rPr>
              <w:fldChar w:fldCharType="end"/>
            </w:r>
          </w:hyperlink>
        </w:p>
        <w:p w14:paraId="5917B429" w14:textId="0BC9B6AD"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49" w:history="1">
            <w:r w:rsidRPr="00BD47C5">
              <w:rPr>
                <w:rStyle w:val="Hyperlink"/>
                <w:bCs/>
                <w:noProof/>
              </w:rPr>
              <w:t>Funding Tiers</w:t>
            </w:r>
            <w:r>
              <w:rPr>
                <w:noProof/>
                <w:webHidden/>
              </w:rPr>
              <w:tab/>
            </w:r>
            <w:r>
              <w:rPr>
                <w:noProof/>
                <w:webHidden/>
              </w:rPr>
              <w:fldChar w:fldCharType="begin"/>
            </w:r>
            <w:r>
              <w:rPr>
                <w:noProof/>
                <w:webHidden/>
              </w:rPr>
              <w:instrText xml:space="preserve"> PAGEREF _Toc235521249 \h </w:instrText>
            </w:r>
            <w:r>
              <w:rPr>
                <w:noProof/>
                <w:webHidden/>
              </w:rPr>
            </w:r>
            <w:r>
              <w:rPr>
                <w:noProof/>
                <w:webHidden/>
              </w:rPr>
              <w:fldChar w:fldCharType="separate"/>
            </w:r>
            <w:r w:rsidR="00280C72">
              <w:rPr>
                <w:noProof/>
                <w:webHidden/>
              </w:rPr>
              <w:t>6</w:t>
            </w:r>
            <w:r>
              <w:rPr>
                <w:noProof/>
                <w:webHidden/>
              </w:rPr>
              <w:fldChar w:fldCharType="end"/>
            </w:r>
          </w:hyperlink>
        </w:p>
        <w:p w14:paraId="7D677802" w14:textId="2CFDCC8A"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50" w:history="1">
            <w:r w:rsidRPr="00BD47C5">
              <w:rPr>
                <w:rStyle w:val="Hyperlink"/>
                <w:bCs/>
                <w:noProof/>
              </w:rPr>
              <w:t>Multi-Year Funding</w:t>
            </w:r>
            <w:r>
              <w:rPr>
                <w:noProof/>
                <w:webHidden/>
              </w:rPr>
              <w:tab/>
            </w:r>
            <w:r>
              <w:rPr>
                <w:noProof/>
                <w:webHidden/>
              </w:rPr>
              <w:fldChar w:fldCharType="begin"/>
            </w:r>
            <w:r>
              <w:rPr>
                <w:noProof/>
                <w:webHidden/>
              </w:rPr>
              <w:instrText xml:space="preserve"> PAGEREF _Toc235521250 \h </w:instrText>
            </w:r>
            <w:r>
              <w:rPr>
                <w:noProof/>
                <w:webHidden/>
              </w:rPr>
            </w:r>
            <w:r>
              <w:rPr>
                <w:noProof/>
                <w:webHidden/>
              </w:rPr>
              <w:fldChar w:fldCharType="separate"/>
            </w:r>
            <w:r w:rsidR="00280C72">
              <w:rPr>
                <w:noProof/>
                <w:webHidden/>
              </w:rPr>
              <w:t>7</w:t>
            </w:r>
            <w:r>
              <w:rPr>
                <w:noProof/>
                <w:webHidden/>
              </w:rPr>
              <w:fldChar w:fldCharType="end"/>
            </w:r>
          </w:hyperlink>
        </w:p>
        <w:p w14:paraId="0573F33E" w14:textId="5365E601"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51" w:history="1">
            <w:r w:rsidRPr="00BD47C5">
              <w:rPr>
                <w:rStyle w:val="Hyperlink"/>
                <w:bCs/>
                <w:noProof/>
              </w:rPr>
              <w:t>Applying for a Cultural Development Fund grant</w:t>
            </w:r>
            <w:r>
              <w:rPr>
                <w:noProof/>
                <w:webHidden/>
              </w:rPr>
              <w:tab/>
            </w:r>
            <w:r>
              <w:rPr>
                <w:noProof/>
                <w:webHidden/>
              </w:rPr>
              <w:fldChar w:fldCharType="begin"/>
            </w:r>
            <w:r>
              <w:rPr>
                <w:noProof/>
                <w:webHidden/>
              </w:rPr>
              <w:instrText xml:space="preserve"> PAGEREF _Toc235521251 \h </w:instrText>
            </w:r>
            <w:r>
              <w:rPr>
                <w:noProof/>
                <w:webHidden/>
              </w:rPr>
            </w:r>
            <w:r>
              <w:rPr>
                <w:noProof/>
                <w:webHidden/>
              </w:rPr>
              <w:fldChar w:fldCharType="separate"/>
            </w:r>
            <w:r w:rsidR="00280C72">
              <w:rPr>
                <w:noProof/>
                <w:webHidden/>
              </w:rPr>
              <w:t>8</w:t>
            </w:r>
            <w:r>
              <w:rPr>
                <w:noProof/>
                <w:webHidden/>
              </w:rPr>
              <w:fldChar w:fldCharType="end"/>
            </w:r>
          </w:hyperlink>
        </w:p>
        <w:p w14:paraId="4C475795" w14:textId="2E21411B"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2" w:history="1">
            <w:r w:rsidRPr="00BD47C5">
              <w:rPr>
                <w:rStyle w:val="Hyperlink"/>
                <w:noProof/>
              </w:rPr>
              <w:t>Eligibility</w:t>
            </w:r>
            <w:r>
              <w:rPr>
                <w:noProof/>
                <w:webHidden/>
              </w:rPr>
              <w:tab/>
            </w:r>
            <w:r>
              <w:rPr>
                <w:noProof/>
                <w:webHidden/>
              </w:rPr>
              <w:fldChar w:fldCharType="begin"/>
            </w:r>
            <w:r>
              <w:rPr>
                <w:noProof/>
                <w:webHidden/>
              </w:rPr>
              <w:instrText xml:space="preserve"> PAGEREF _Toc235521252 \h </w:instrText>
            </w:r>
            <w:r>
              <w:rPr>
                <w:noProof/>
                <w:webHidden/>
              </w:rPr>
            </w:r>
            <w:r>
              <w:rPr>
                <w:noProof/>
                <w:webHidden/>
              </w:rPr>
              <w:fldChar w:fldCharType="separate"/>
            </w:r>
            <w:r w:rsidR="00280C72">
              <w:rPr>
                <w:noProof/>
                <w:webHidden/>
              </w:rPr>
              <w:t>8</w:t>
            </w:r>
            <w:r>
              <w:rPr>
                <w:noProof/>
                <w:webHidden/>
              </w:rPr>
              <w:fldChar w:fldCharType="end"/>
            </w:r>
          </w:hyperlink>
        </w:p>
        <w:p w14:paraId="67F7C299" w14:textId="336BEDFE"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3" w:history="1">
            <w:r w:rsidRPr="00BD47C5">
              <w:rPr>
                <w:rStyle w:val="Hyperlink"/>
                <w:noProof/>
              </w:rPr>
              <w:t>What can be funded?</w:t>
            </w:r>
            <w:r>
              <w:rPr>
                <w:noProof/>
                <w:webHidden/>
              </w:rPr>
              <w:tab/>
            </w:r>
            <w:r>
              <w:rPr>
                <w:noProof/>
                <w:webHidden/>
              </w:rPr>
              <w:fldChar w:fldCharType="begin"/>
            </w:r>
            <w:r>
              <w:rPr>
                <w:noProof/>
                <w:webHidden/>
              </w:rPr>
              <w:instrText xml:space="preserve"> PAGEREF _Toc235521253 \h </w:instrText>
            </w:r>
            <w:r>
              <w:rPr>
                <w:noProof/>
                <w:webHidden/>
              </w:rPr>
            </w:r>
            <w:r>
              <w:rPr>
                <w:noProof/>
                <w:webHidden/>
              </w:rPr>
              <w:fldChar w:fldCharType="separate"/>
            </w:r>
            <w:r w:rsidR="00280C72">
              <w:rPr>
                <w:noProof/>
                <w:webHidden/>
              </w:rPr>
              <w:t>8</w:t>
            </w:r>
            <w:r>
              <w:rPr>
                <w:noProof/>
                <w:webHidden/>
              </w:rPr>
              <w:fldChar w:fldCharType="end"/>
            </w:r>
          </w:hyperlink>
        </w:p>
        <w:p w14:paraId="26F14EC3" w14:textId="67A41383"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4" w:history="1">
            <w:r w:rsidRPr="00BD47C5">
              <w:rPr>
                <w:rStyle w:val="Hyperlink"/>
                <w:noProof/>
              </w:rPr>
              <w:t>What can’t be funded (exclusions)?</w:t>
            </w:r>
            <w:r>
              <w:rPr>
                <w:noProof/>
                <w:webHidden/>
              </w:rPr>
              <w:tab/>
            </w:r>
            <w:r>
              <w:rPr>
                <w:noProof/>
                <w:webHidden/>
              </w:rPr>
              <w:fldChar w:fldCharType="begin"/>
            </w:r>
            <w:r>
              <w:rPr>
                <w:noProof/>
                <w:webHidden/>
              </w:rPr>
              <w:instrText xml:space="preserve"> PAGEREF _Toc235521254 \h </w:instrText>
            </w:r>
            <w:r>
              <w:rPr>
                <w:noProof/>
                <w:webHidden/>
              </w:rPr>
            </w:r>
            <w:r>
              <w:rPr>
                <w:noProof/>
                <w:webHidden/>
              </w:rPr>
              <w:fldChar w:fldCharType="separate"/>
            </w:r>
            <w:r w:rsidR="00280C72">
              <w:rPr>
                <w:noProof/>
                <w:webHidden/>
              </w:rPr>
              <w:t>9</w:t>
            </w:r>
            <w:r>
              <w:rPr>
                <w:noProof/>
                <w:webHidden/>
              </w:rPr>
              <w:fldChar w:fldCharType="end"/>
            </w:r>
          </w:hyperlink>
        </w:p>
        <w:p w14:paraId="126746E4" w14:textId="7B7B1449"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5" w:history="1">
            <w:r w:rsidRPr="00BD47C5">
              <w:rPr>
                <w:rStyle w:val="Hyperlink"/>
                <w:noProof/>
              </w:rPr>
              <w:t>Assessment process</w:t>
            </w:r>
            <w:r>
              <w:rPr>
                <w:noProof/>
                <w:webHidden/>
              </w:rPr>
              <w:tab/>
            </w:r>
            <w:r>
              <w:rPr>
                <w:noProof/>
                <w:webHidden/>
              </w:rPr>
              <w:fldChar w:fldCharType="begin"/>
            </w:r>
            <w:r>
              <w:rPr>
                <w:noProof/>
                <w:webHidden/>
              </w:rPr>
              <w:instrText xml:space="preserve"> PAGEREF _Toc235521255 \h </w:instrText>
            </w:r>
            <w:r>
              <w:rPr>
                <w:noProof/>
                <w:webHidden/>
              </w:rPr>
            </w:r>
            <w:r>
              <w:rPr>
                <w:noProof/>
                <w:webHidden/>
              </w:rPr>
              <w:fldChar w:fldCharType="separate"/>
            </w:r>
            <w:r w:rsidR="00280C72">
              <w:rPr>
                <w:noProof/>
                <w:webHidden/>
              </w:rPr>
              <w:t>9</w:t>
            </w:r>
            <w:r>
              <w:rPr>
                <w:noProof/>
                <w:webHidden/>
              </w:rPr>
              <w:fldChar w:fldCharType="end"/>
            </w:r>
          </w:hyperlink>
        </w:p>
        <w:p w14:paraId="1F174736" w14:textId="3FD87866"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6" w:history="1">
            <w:r w:rsidRPr="00BD47C5">
              <w:rPr>
                <w:rStyle w:val="Hyperlink"/>
                <w:noProof/>
              </w:rPr>
              <w:t>Assessment criteria</w:t>
            </w:r>
            <w:r>
              <w:rPr>
                <w:noProof/>
                <w:webHidden/>
              </w:rPr>
              <w:tab/>
            </w:r>
            <w:r>
              <w:rPr>
                <w:noProof/>
                <w:webHidden/>
              </w:rPr>
              <w:fldChar w:fldCharType="begin"/>
            </w:r>
            <w:r>
              <w:rPr>
                <w:noProof/>
                <w:webHidden/>
              </w:rPr>
              <w:instrText xml:space="preserve"> PAGEREF _Toc235521256 \h </w:instrText>
            </w:r>
            <w:r>
              <w:rPr>
                <w:noProof/>
                <w:webHidden/>
              </w:rPr>
            </w:r>
            <w:r>
              <w:rPr>
                <w:noProof/>
                <w:webHidden/>
              </w:rPr>
              <w:fldChar w:fldCharType="separate"/>
            </w:r>
            <w:r w:rsidR="00280C72">
              <w:rPr>
                <w:noProof/>
                <w:webHidden/>
              </w:rPr>
              <w:t>10</w:t>
            </w:r>
            <w:r>
              <w:rPr>
                <w:noProof/>
                <w:webHidden/>
              </w:rPr>
              <w:fldChar w:fldCharType="end"/>
            </w:r>
          </w:hyperlink>
        </w:p>
        <w:p w14:paraId="5B13A6CD" w14:textId="186F727B"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57" w:history="1">
            <w:r w:rsidRPr="00BD47C5">
              <w:rPr>
                <w:rStyle w:val="Hyperlink"/>
                <w:noProof/>
              </w:rPr>
              <w:t>Support documentation required</w:t>
            </w:r>
            <w:r>
              <w:rPr>
                <w:noProof/>
                <w:webHidden/>
              </w:rPr>
              <w:tab/>
            </w:r>
            <w:r>
              <w:rPr>
                <w:noProof/>
                <w:webHidden/>
              </w:rPr>
              <w:fldChar w:fldCharType="begin"/>
            </w:r>
            <w:r>
              <w:rPr>
                <w:noProof/>
                <w:webHidden/>
              </w:rPr>
              <w:instrText xml:space="preserve"> PAGEREF _Toc235521257 \h </w:instrText>
            </w:r>
            <w:r>
              <w:rPr>
                <w:noProof/>
                <w:webHidden/>
              </w:rPr>
            </w:r>
            <w:r>
              <w:rPr>
                <w:noProof/>
                <w:webHidden/>
              </w:rPr>
              <w:fldChar w:fldCharType="separate"/>
            </w:r>
            <w:r w:rsidR="00280C72">
              <w:rPr>
                <w:noProof/>
                <w:webHidden/>
              </w:rPr>
              <w:t>11</w:t>
            </w:r>
            <w:r>
              <w:rPr>
                <w:noProof/>
                <w:webHidden/>
              </w:rPr>
              <w:fldChar w:fldCharType="end"/>
            </w:r>
          </w:hyperlink>
        </w:p>
        <w:p w14:paraId="1BF2EB8E" w14:textId="1C7CEB83"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8" w:history="1">
            <w:r w:rsidRPr="00BD47C5">
              <w:rPr>
                <w:rStyle w:val="Hyperlink"/>
                <w:noProof/>
              </w:rPr>
              <w:t>Permits and Local Laws</w:t>
            </w:r>
            <w:r>
              <w:rPr>
                <w:noProof/>
                <w:webHidden/>
              </w:rPr>
              <w:tab/>
            </w:r>
            <w:r>
              <w:rPr>
                <w:noProof/>
                <w:webHidden/>
              </w:rPr>
              <w:fldChar w:fldCharType="begin"/>
            </w:r>
            <w:r>
              <w:rPr>
                <w:noProof/>
                <w:webHidden/>
              </w:rPr>
              <w:instrText xml:space="preserve"> PAGEREF _Toc235521258 \h </w:instrText>
            </w:r>
            <w:r>
              <w:rPr>
                <w:noProof/>
                <w:webHidden/>
              </w:rPr>
            </w:r>
            <w:r>
              <w:rPr>
                <w:noProof/>
                <w:webHidden/>
              </w:rPr>
              <w:fldChar w:fldCharType="separate"/>
            </w:r>
            <w:r w:rsidR="00280C72">
              <w:rPr>
                <w:noProof/>
                <w:webHidden/>
              </w:rPr>
              <w:t>12</w:t>
            </w:r>
            <w:r>
              <w:rPr>
                <w:noProof/>
                <w:webHidden/>
              </w:rPr>
              <w:fldChar w:fldCharType="end"/>
            </w:r>
          </w:hyperlink>
        </w:p>
        <w:p w14:paraId="51435B56" w14:textId="32249DA3"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59" w:history="1">
            <w:r w:rsidRPr="00BD47C5">
              <w:rPr>
                <w:rStyle w:val="Hyperlink"/>
                <w:noProof/>
              </w:rPr>
              <w:t>Event advice (for events in open space)</w:t>
            </w:r>
            <w:r>
              <w:rPr>
                <w:noProof/>
                <w:webHidden/>
              </w:rPr>
              <w:tab/>
            </w:r>
            <w:r>
              <w:rPr>
                <w:noProof/>
                <w:webHidden/>
              </w:rPr>
              <w:fldChar w:fldCharType="begin"/>
            </w:r>
            <w:r>
              <w:rPr>
                <w:noProof/>
                <w:webHidden/>
              </w:rPr>
              <w:instrText xml:space="preserve"> PAGEREF _Toc235521259 \h </w:instrText>
            </w:r>
            <w:r>
              <w:rPr>
                <w:noProof/>
                <w:webHidden/>
              </w:rPr>
            </w:r>
            <w:r>
              <w:rPr>
                <w:noProof/>
                <w:webHidden/>
              </w:rPr>
              <w:fldChar w:fldCharType="separate"/>
            </w:r>
            <w:r w:rsidR="00280C72">
              <w:rPr>
                <w:noProof/>
                <w:webHidden/>
              </w:rPr>
              <w:t>12</w:t>
            </w:r>
            <w:r>
              <w:rPr>
                <w:noProof/>
                <w:webHidden/>
              </w:rPr>
              <w:fldChar w:fldCharType="end"/>
            </w:r>
          </w:hyperlink>
        </w:p>
        <w:p w14:paraId="2013C74A" w14:textId="094D8074"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60" w:history="1">
            <w:r w:rsidRPr="00BD47C5">
              <w:rPr>
                <w:rStyle w:val="Hyperlink"/>
                <w:noProof/>
              </w:rPr>
              <w:t>Working with First Peoples</w:t>
            </w:r>
            <w:r>
              <w:rPr>
                <w:noProof/>
                <w:webHidden/>
              </w:rPr>
              <w:tab/>
            </w:r>
            <w:r>
              <w:rPr>
                <w:noProof/>
                <w:webHidden/>
              </w:rPr>
              <w:fldChar w:fldCharType="begin"/>
            </w:r>
            <w:r>
              <w:rPr>
                <w:noProof/>
                <w:webHidden/>
              </w:rPr>
              <w:instrText xml:space="preserve"> PAGEREF _Toc235521260 \h </w:instrText>
            </w:r>
            <w:r>
              <w:rPr>
                <w:noProof/>
                <w:webHidden/>
              </w:rPr>
            </w:r>
            <w:r>
              <w:rPr>
                <w:noProof/>
                <w:webHidden/>
              </w:rPr>
              <w:fldChar w:fldCharType="separate"/>
            </w:r>
            <w:r w:rsidR="00280C72">
              <w:rPr>
                <w:noProof/>
                <w:webHidden/>
              </w:rPr>
              <w:t>12</w:t>
            </w:r>
            <w:r>
              <w:rPr>
                <w:noProof/>
                <w:webHidden/>
              </w:rPr>
              <w:fldChar w:fldCharType="end"/>
            </w:r>
          </w:hyperlink>
        </w:p>
        <w:p w14:paraId="31D11B94" w14:textId="6FE5F2F3"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61" w:history="1">
            <w:r w:rsidRPr="00BD47C5">
              <w:rPr>
                <w:rStyle w:val="Hyperlink"/>
                <w:noProof/>
              </w:rPr>
              <w:t>Artists working with community</w:t>
            </w:r>
            <w:r>
              <w:rPr>
                <w:noProof/>
                <w:webHidden/>
              </w:rPr>
              <w:tab/>
            </w:r>
            <w:r>
              <w:rPr>
                <w:noProof/>
                <w:webHidden/>
              </w:rPr>
              <w:fldChar w:fldCharType="begin"/>
            </w:r>
            <w:r>
              <w:rPr>
                <w:noProof/>
                <w:webHidden/>
              </w:rPr>
              <w:instrText xml:space="preserve"> PAGEREF _Toc235521261 \h </w:instrText>
            </w:r>
            <w:r>
              <w:rPr>
                <w:noProof/>
                <w:webHidden/>
              </w:rPr>
            </w:r>
            <w:r>
              <w:rPr>
                <w:noProof/>
                <w:webHidden/>
              </w:rPr>
              <w:fldChar w:fldCharType="separate"/>
            </w:r>
            <w:r w:rsidR="00280C72">
              <w:rPr>
                <w:noProof/>
                <w:webHidden/>
              </w:rPr>
              <w:t>12</w:t>
            </w:r>
            <w:r>
              <w:rPr>
                <w:noProof/>
                <w:webHidden/>
              </w:rPr>
              <w:fldChar w:fldCharType="end"/>
            </w:r>
          </w:hyperlink>
        </w:p>
        <w:p w14:paraId="3E1BD15C" w14:textId="7D20DA27"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2" w:history="1">
            <w:r w:rsidRPr="00BD47C5">
              <w:rPr>
                <w:rStyle w:val="Hyperlink"/>
                <w:noProof/>
              </w:rPr>
              <w:t>Submitting your application</w:t>
            </w:r>
            <w:r>
              <w:rPr>
                <w:noProof/>
                <w:webHidden/>
              </w:rPr>
              <w:tab/>
            </w:r>
            <w:r>
              <w:rPr>
                <w:noProof/>
                <w:webHidden/>
              </w:rPr>
              <w:fldChar w:fldCharType="begin"/>
            </w:r>
            <w:r>
              <w:rPr>
                <w:noProof/>
                <w:webHidden/>
              </w:rPr>
              <w:instrText xml:space="preserve"> PAGEREF _Toc235521262 \h </w:instrText>
            </w:r>
            <w:r>
              <w:rPr>
                <w:noProof/>
                <w:webHidden/>
              </w:rPr>
            </w:r>
            <w:r>
              <w:rPr>
                <w:noProof/>
                <w:webHidden/>
              </w:rPr>
              <w:fldChar w:fldCharType="separate"/>
            </w:r>
            <w:r w:rsidR="00280C72">
              <w:rPr>
                <w:noProof/>
                <w:webHidden/>
              </w:rPr>
              <w:t>12</w:t>
            </w:r>
            <w:r>
              <w:rPr>
                <w:noProof/>
                <w:webHidden/>
              </w:rPr>
              <w:fldChar w:fldCharType="end"/>
            </w:r>
          </w:hyperlink>
        </w:p>
        <w:p w14:paraId="4C3B9308" w14:textId="63FFC1FA"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3" w:history="1">
            <w:r w:rsidRPr="00BD47C5">
              <w:rPr>
                <w:rStyle w:val="Hyperlink"/>
                <w:noProof/>
              </w:rPr>
              <w:t>Support provided by Council</w:t>
            </w:r>
            <w:r>
              <w:rPr>
                <w:noProof/>
                <w:webHidden/>
              </w:rPr>
              <w:tab/>
            </w:r>
            <w:r>
              <w:rPr>
                <w:noProof/>
                <w:webHidden/>
              </w:rPr>
              <w:fldChar w:fldCharType="begin"/>
            </w:r>
            <w:r>
              <w:rPr>
                <w:noProof/>
                <w:webHidden/>
              </w:rPr>
              <w:instrText xml:space="preserve"> PAGEREF _Toc235521263 \h </w:instrText>
            </w:r>
            <w:r>
              <w:rPr>
                <w:noProof/>
                <w:webHidden/>
              </w:rPr>
            </w:r>
            <w:r>
              <w:rPr>
                <w:noProof/>
                <w:webHidden/>
              </w:rPr>
              <w:fldChar w:fldCharType="separate"/>
            </w:r>
            <w:r w:rsidR="00280C72">
              <w:rPr>
                <w:noProof/>
                <w:webHidden/>
              </w:rPr>
              <w:t>13</w:t>
            </w:r>
            <w:r>
              <w:rPr>
                <w:noProof/>
                <w:webHidden/>
              </w:rPr>
              <w:fldChar w:fldCharType="end"/>
            </w:r>
          </w:hyperlink>
        </w:p>
        <w:p w14:paraId="2484873B" w14:textId="4B11219D" w:rsidR="00841967" w:rsidRDefault="00841967">
          <w:pPr>
            <w:pStyle w:val="TOC3"/>
            <w:rPr>
              <w:rFonts w:asciiTheme="minorHAnsi" w:eastAsiaTheme="minorEastAsia" w:hAnsiTheme="minorHAnsi" w:cstheme="minorBidi"/>
              <w:noProof/>
              <w:color w:val="auto"/>
              <w:kern w:val="2"/>
              <w:szCs w:val="24"/>
              <w:lang w:eastAsia="en-AU"/>
              <w14:ligatures w14:val="standardContextual"/>
            </w:rPr>
          </w:pPr>
          <w:hyperlink w:anchor="_Toc235521264" w:history="1">
            <w:r w:rsidRPr="00BD47C5">
              <w:rPr>
                <w:rStyle w:val="Hyperlink"/>
                <w:noProof/>
              </w:rPr>
              <w:t>Grants Information Sessions and Grant Writing Workshops</w:t>
            </w:r>
            <w:r>
              <w:rPr>
                <w:noProof/>
                <w:webHidden/>
              </w:rPr>
              <w:tab/>
            </w:r>
            <w:r>
              <w:rPr>
                <w:noProof/>
                <w:webHidden/>
              </w:rPr>
              <w:fldChar w:fldCharType="begin"/>
            </w:r>
            <w:r>
              <w:rPr>
                <w:noProof/>
                <w:webHidden/>
              </w:rPr>
              <w:instrText xml:space="preserve"> PAGEREF _Toc235521264 \h </w:instrText>
            </w:r>
            <w:r>
              <w:rPr>
                <w:noProof/>
                <w:webHidden/>
              </w:rPr>
            </w:r>
            <w:r>
              <w:rPr>
                <w:noProof/>
                <w:webHidden/>
              </w:rPr>
              <w:fldChar w:fldCharType="separate"/>
            </w:r>
            <w:r w:rsidR="00280C72">
              <w:rPr>
                <w:noProof/>
                <w:webHidden/>
              </w:rPr>
              <w:t>13</w:t>
            </w:r>
            <w:r>
              <w:rPr>
                <w:noProof/>
                <w:webHidden/>
              </w:rPr>
              <w:fldChar w:fldCharType="end"/>
            </w:r>
          </w:hyperlink>
        </w:p>
        <w:p w14:paraId="0B449670" w14:textId="14805483"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5" w:history="1">
            <w:r w:rsidRPr="00BD47C5">
              <w:rPr>
                <w:rStyle w:val="Hyperlink"/>
                <w:noProof/>
              </w:rPr>
              <w:t>Funding principles</w:t>
            </w:r>
            <w:r>
              <w:rPr>
                <w:noProof/>
                <w:webHidden/>
              </w:rPr>
              <w:tab/>
            </w:r>
            <w:r>
              <w:rPr>
                <w:noProof/>
                <w:webHidden/>
              </w:rPr>
              <w:fldChar w:fldCharType="begin"/>
            </w:r>
            <w:r>
              <w:rPr>
                <w:noProof/>
                <w:webHidden/>
              </w:rPr>
              <w:instrText xml:space="preserve"> PAGEREF _Toc235521265 \h </w:instrText>
            </w:r>
            <w:r>
              <w:rPr>
                <w:noProof/>
                <w:webHidden/>
              </w:rPr>
            </w:r>
            <w:r>
              <w:rPr>
                <w:noProof/>
                <w:webHidden/>
              </w:rPr>
              <w:fldChar w:fldCharType="separate"/>
            </w:r>
            <w:r w:rsidR="00280C72">
              <w:rPr>
                <w:noProof/>
                <w:webHidden/>
              </w:rPr>
              <w:t>13</w:t>
            </w:r>
            <w:r>
              <w:rPr>
                <w:noProof/>
                <w:webHidden/>
              </w:rPr>
              <w:fldChar w:fldCharType="end"/>
            </w:r>
          </w:hyperlink>
        </w:p>
        <w:p w14:paraId="614BFC69" w14:textId="47B615E1"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6" w:history="1">
            <w:r w:rsidRPr="00BD47C5">
              <w:rPr>
                <w:rStyle w:val="Hyperlink"/>
                <w:noProof/>
              </w:rPr>
              <w:t>Inclusion, Diversity and Participation</w:t>
            </w:r>
            <w:r>
              <w:rPr>
                <w:noProof/>
                <w:webHidden/>
              </w:rPr>
              <w:tab/>
            </w:r>
            <w:r>
              <w:rPr>
                <w:noProof/>
                <w:webHidden/>
              </w:rPr>
              <w:fldChar w:fldCharType="begin"/>
            </w:r>
            <w:r>
              <w:rPr>
                <w:noProof/>
                <w:webHidden/>
              </w:rPr>
              <w:instrText xml:space="preserve"> PAGEREF _Toc235521266 \h </w:instrText>
            </w:r>
            <w:r>
              <w:rPr>
                <w:noProof/>
                <w:webHidden/>
              </w:rPr>
            </w:r>
            <w:r>
              <w:rPr>
                <w:noProof/>
                <w:webHidden/>
              </w:rPr>
              <w:fldChar w:fldCharType="separate"/>
            </w:r>
            <w:r w:rsidR="00280C72">
              <w:rPr>
                <w:noProof/>
                <w:webHidden/>
              </w:rPr>
              <w:t>14</w:t>
            </w:r>
            <w:r>
              <w:rPr>
                <w:noProof/>
                <w:webHidden/>
              </w:rPr>
              <w:fldChar w:fldCharType="end"/>
            </w:r>
          </w:hyperlink>
        </w:p>
        <w:p w14:paraId="3B1F2B0D" w14:textId="4A9DEE5A"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7" w:history="1">
            <w:r w:rsidRPr="00BD47C5">
              <w:rPr>
                <w:rStyle w:val="Hyperlink"/>
                <w:noProof/>
              </w:rPr>
              <w:t>Access and inclusion</w:t>
            </w:r>
            <w:r>
              <w:rPr>
                <w:noProof/>
                <w:webHidden/>
              </w:rPr>
              <w:tab/>
            </w:r>
            <w:r>
              <w:rPr>
                <w:noProof/>
                <w:webHidden/>
              </w:rPr>
              <w:fldChar w:fldCharType="begin"/>
            </w:r>
            <w:r>
              <w:rPr>
                <w:noProof/>
                <w:webHidden/>
              </w:rPr>
              <w:instrText xml:space="preserve"> PAGEREF _Toc235521267 \h </w:instrText>
            </w:r>
            <w:r>
              <w:rPr>
                <w:noProof/>
                <w:webHidden/>
              </w:rPr>
            </w:r>
            <w:r>
              <w:rPr>
                <w:noProof/>
                <w:webHidden/>
              </w:rPr>
              <w:fldChar w:fldCharType="separate"/>
            </w:r>
            <w:r w:rsidR="00280C72">
              <w:rPr>
                <w:noProof/>
                <w:webHidden/>
              </w:rPr>
              <w:t>14</w:t>
            </w:r>
            <w:r>
              <w:rPr>
                <w:noProof/>
                <w:webHidden/>
              </w:rPr>
              <w:fldChar w:fldCharType="end"/>
            </w:r>
          </w:hyperlink>
        </w:p>
        <w:p w14:paraId="35C36292" w14:textId="1D93F0CA"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8" w:history="1">
            <w:r w:rsidRPr="00BD47C5">
              <w:rPr>
                <w:rStyle w:val="Hyperlink"/>
                <w:noProof/>
              </w:rPr>
              <w:t>Ensuring a Child Safe City of Port Phillip</w:t>
            </w:r>
            <w:r>
              <w:rPr>
                <w:noProof/>
                <w:webHidden/>
              </w:rPr>
              <w:tab/>
            </w:r>
            <w:r>
              <w:rPr>
                <w:noProof/>
                <w:webHidden/>
              </w:rPr>
              <w:fldChar w:fldCharType="begin"/>
            </w:r>
            <w:r>
              <w:rPr>
                <w:noProof/>
                <w:webHidden/>
              </w:rPr>
              <w:instrText xml:space="preserve"> PAGEREF _Toc235521268 \h </w:instrText>
            </w:r>
            <w:r>
              <w:rPr>
                <w:noProof/>
                <w:webHidden/>
              </w:rPr>
            </w:r>
            <w:r>
              <w:rPr>
                <w:noProof/>
                <w:webHidden/>
              </w:rPr>
              <w:fldChar w:fldCharType="separate"/>
            </w:r>
            <w:r w:rsidR="00280C72">
              <w:rPr>
                <w:noProof/>
                <w:webHidden/>
              </w:rPr>
              <w:t>14</w:t>
            </w:r>
            <w:r>
              <w:rPr>
                <w:noProof/>
                <w:webHidden/>
              </w:rPr>
              <w:fldChar w:fldCharType="end"/>
            </w:r>
          </w:hyperlink>
        </w:p>
        <w:p w14:paraId="23A95481" w14:textId="5CA38993"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69" w:history="1">
            <w:r w:rsidRPr="00BD47C5">
              <w:rPr>
                <w:rStyle w:val="Hyperlink"/>
                <w:noProof/>
              </w:rPr>
              <w:t>Victorian Government Values Statement</w:t>
            </w:r>
            <w:r>
              <w:rPr>
                <w:noProof/>
                <w:webHidden/>
              </w:rPr>
              <w:tab/>
            </w:r>
            <w:r>
              <w:rPr>
                <w:noProof/>
                <w:webHidden/>
              </w:rPr>
              <w:fldChar w:fldCharType="begin"/>
            </w:r>
            <w:r>
              <w:rPr>
                <w:noProof/>
                <w:webHidden/>
              </w:rPr>
              <w:instrText xml:space="preserve"> PAGEREF _Toc235521269 \h </w:instrText>
            </w:r>
            <w:r>
              <w:rPr>
                <w:noProof/>
                <w:webHidden/>
              </w:rPr>
            </w:r>
            <w:r>
              <w:rPr>
                <w:noProof/>
                <w:webHidden/>
              </w:rPr>
              <w:fldChar w:fldCharType="separate"/>
            </w:r>
            <w:r w:rsidR="00280C72">
              <w:rPr>
                <w:noProof/>
                <w:webHidden/>
              </w:rPr>
              <w:t>15</w:t>
            </w:r>
            <w:r>
              <w:rPr>
                <w:noProof/>
                <w:webHidden/>
              </w:rPr>
              <w:fldChar w:fldCharType="end"/>
            </w:r>
          </w:hyperlink>
        </w:p>
        <w:p w14:paraId="321BAE0F" w14:textId="55965478"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0" w:history="1">
            <w:r w:rsidRPr="00BD47C5">
              <w:rPr>
                <w:rStyle w:val="Hyperlink"/>
                <w:noProof/>
              </w:rPr>
              <w:t>LGBTIQA+</w:t>
            </w:r>
            <w:r>
              <w:rPr>
                <w:noProof/>
                <w:webHidden/>
              </w:rPr>
              <w:tab/>
            </w:r>
            <w:r>
              <w:rPr>
                <w:noProof/>
                <w:webHidden/>
              </w:rPr>
              <w:fldChar w:fldCharType="begin"/>
            </w:r>
            <w:r>
              <w:rPr>
                <w:noProof/>
                <w:webHidden/>
              </w:rPr>
              <w:instrText xml:space="preserve"> PAGEREF _Toc235521270 \h </w:instrText>
            </w:r>
            <w:r>
              <w:rPr>
                <w:noProof/>
                <w:webHidden/>
              </w:rPr>
            </w:r>
            <w:r>
              <w:rPr>
                <w:noProof/>
                <w:webHidden/>
              </w:rPr>
              <w:fldChar w:fldCharType="separate"/>
            </w:r>
            <w:r w:rsidR="00280C72">
              <w:rPr>
                <w:noProof/>
                <w:webHidden/>
              </w:rPr>
              <w:t>15</w:t>
            </w:r>
            <w:r>
              <w:rPr>
                <w:noProof/>
                <w:webHidden/>
              </w:rPr>
              <w:fldChar w:fldCharType="end"/>
            </w:r>
          </w:hyperlink>
        </w:p>
        <w:p w14:paraId="6AF13D14" w14:textId="63A48CE0"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1" w:history="1">
            <w:r w:rsidRPr="00BD47C5">
              <w:rPr>
                <w:rStyle w:val="Hyperlink"/>
                <w:noProof/>
              </w:rPr>
              <w:t>Sustainability</w:t>
            </w:r>
            <w:r>
              <w:rPr>
                <w:noProof/>
                <w:webHidden/>
              </w:rPr>
              <w:tab/>
            </w:r>
            <w:r>
              <w:rPr>
                <w:noProof/>
                <w:webHidden/>
              </w:rPr>
              <w:fldChar w:fldCharType="begin"/>
            </w:r>
            <w:r>
              <w:rPr>
                <w:noProof/>
                <w:webHidden/>
              </w:rPr>
              <w:instrText xml:space="preserve"> PAGEREF _Toc235521271 \h </w:instrText>
            </w:r>
            <w:r>
              <w:rPr>
                <w:noProof/>
                <w:webHidden/>
              </w:rPr>
            </w:r>
            <w:r>
              <w:rPr>
                <w:noProof/>
                <w:webHidden/>
              </w:rPr>
              <w:fldChar w:fldCharType="separate"/>
            </w:r>
            <w:r w:rsidR="00280C72">
              <w:rPr>
                <w:noProof/>
                <w:webHidden/>
              </w:rPr>
              <w:t>15</w:t>
            </w:r>
            <w:r>
              <w:rPr>
                <w:noProof/>
                <w:webHidden/>
              </w:rPr>
              <w:fldChar w:fldCharType="end"/>
            </w:r>
          </w:hyperlink>
        </w:p>
        <w:p w14:paraId="43C11AFB" w14:textId="0B9863B1"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2" w:history="1">
            <w:r w:rsidRPr="00BD47C5">
              <w:rPr>
                <w:rStyle w:val="Hyperlink"/>
                <w:noProof/>
              </w:rPr>
              <w:t>Lobbying</w:t>
            </w:r>
            <w:r>
              <w:rPr>
                <w:noProof/>
                <w:webHidden/>
              </w:rPr>
              <w:tab/>
            </w:r>
            <w:r>
              <w:rPr>
                <w:noProof/>
                <w:webHidden/>
              </w:rPr>
              <w:fldChar w:fldCharType="begin"/>
            </w:r>
            <w:r>
              <w:rPr>
                <w:noProof/>
                <w:webHidden/>
              </w:rPr>
              <w:instrText xml:space="preserve"> PAGEREF _Toc235521272 \h </w:instrText>
            </w:r>
            <w:r>
              <w:rPr>
                <w:noProof/>
                <w:webHidden/>
              </w:rPr>
            </w:r>
            <w:r>
              <w:rPr>
                <w:noProof/>
                <w:webHidden/>
              </w:rPr>
              <w:fldChar w:fldCharType="separate"/>
            </w:r>
            <w:r w:rsidR="00280C72">
              <w:rPr>
                <w:noProof/>
                <w:webHidden/>
              </w:rPr>
              <w:t>16</w:t>
            </w:r>
            <w:r>
              <w:rPr>
                <w:noProof/>
                <w:webHidden/>
              </w:rPr>
              <w:fldChar w:fldCharType="end"/>
            </w:r>
          </w:hyperlink>
        </w:p>
        <w:p w14:paraId="6234EC9E" w14:textId="447A6A02"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3" w:history="1">
            <w:r w:rsidRPr="00BD47C5">
              <w:rPr>
                <w:rStyle w:val="Hyperlink"/>
                <w:noProof/>
              </w:rPr>
              <w:t>More information</w:t>
            </w:r>
            <w:r>
              <w:rPr>
                <w:noProof/>
                <w:webHidden/>
              </w:rPr>
              <w:tab/>
            </w:r>
            <w:r>
              <w:rPr>
                <w:noProof/>
                <w:webHidden/>
              </w:rPr>
              <w:fldChar w:fldCharType="begin"/>
            </w:r>
            <w:r>
              <w:rPr>
                <w:noProof/>
                <w:webHidden/>
              </w:rPr>
              <w:instrText xml:space="preserve"> PAGEREF _Toc235521273 \h </w:instrText>
            </w:r>
            <w:r>
              <w:rPr>
                <w:noProof/>
                <w:webHidden/>
              </w:rPr>
            </w:r>
            <w:r>
              <w:rPr>
                <w:noProof/>
                <w:webHidden/>
              </w:rPr>
              <w:fldChar w:fldCharType="separate"/>
            </w:r>
            <w:r w:rsidR="00280C72">
              <w:rPr>
                <w:noProof/>
                <w:webHidden/>
              </w:rPr>
              <w:t>16</w:t>
            </w:r>
            <w:r>
              <w:rPr>
                <w:noProof/>
                <w:webHidden/>
              </w:rPr>
              <w:fldChar w:fldCharType="end"/>
            </w:r>
          </w:hyperlink>
        </w:p>
        <w:p w14:paraId="236656A5" w14:textId="1B4EA6F9"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4" w:history="1">
            <w:r w:rsidRPr="00BD47C5">
              <w:rPr>
                <w:rStyle w:val="Hyperlink"/>
                <w:noProof/>
              </w:rPr>
              <w:t>Checklist: Preparing your grant application</w:t>
            </w:r>
            <w:r>
              <w:rPr>
                <w:noProof/>
                <w:webHidden/>
              </w:rPr>
              <w:tab/>
            </w:r>
            <w:r>
              <w:rPr>
                <w:noProof/>
                <w:webHidden/>
              </w:rPr>
              <w:fldChar w:fldCharType="begin"/>
            </w:r>
            <w:r>
              <w:rPr>
                <w:noProof/>
                <w:webHidden/>
              </w:rPr>
              <w:instrText xml:space="preserve"> PAGEREF _Toc235521274 \h </w:instrText>
            </w:r>
            <w:r>
              <w:rPr>
                <w:noProof/>
                <w:webHidden/>
              </w:rPr>
            </w:r>
            <w:r>
              <w:rPr>
                <w:noProof/>
                <w:webHidden/>
              </w:rPr>
              <w:fldChar w:fldCharType="separate"/>
            </w:r>
            <w:r w:rsidR="00280C72">
              <w:rPr>
                <w:noProof/>
                <w:webHidden/>
              </w:rPr>
              <w:t>16</w:t>
            </w:r>
            <w:r>
              <w:rPr>
                <w:noProof/>
                <w:webHidden/>
              </w:rPr>
              <w:fldChar w:fldCharType="end"/>
            </w:r>
          </w:hyperlink>
        </w:p>
        <w:p w14:paraId="2816CB57" w14:textId="46BCB13C"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5" w:history="1">
            <w:r w:rsidRPr="00BD47C5">
              <w:rPr>
                <w:rStyle w:val="Hyperlink"/>
                <w:noProof/>
              </w:rPr>
              <w:t>Appendix A – Definitions</w:t>
            </w:r>
            <w:r>
              <w:rPr>
                <w:noProof/>
                <w:webHidden/>
              </w:rPr>
              <w:tab/>
            </w:r>
            <w:r>
              <w:rPr>
                <w:noProof/>
                <w:webHidden/>
              </w:rPr>
              <w:fldChar w:fldCharType="begin"/>
            </w:r>
            <w:r>
              <w:rPr>
                <w:noProof/>
                <w:webHidden/>
              </w:rPr>
              <w:instrText xml:space="preserve"> PAGEREF _Toc235521275 \h </w:instrText>
            </w:r>
            <w:r>
              <w:rPr>
                <w:noProof/>
                <w:webHidden/>
              </w:rPr>
            </w:r>
            <w:r>
              <w:rPr>
                <w:noProof/>
                <w:webHidden/>
              </w:rPr>
              <w:fldChar w:fldCharType="separate"/>
            </w:r>
            <w:r w:rsidR="00280C72">
              <w:rPr>
                <w:noProof/>
                <w:webHidden/>
              </w:rPr>
              <w:t>19</w:t>
            </w:r>
            <w:r>
              <w:rPr>
                <w:noProof/>
                <w:webHidden/>
              </w:rPr>
              <w:fldChar w:fldCharType="end"/>
            </w:r>
          </w:hyperlink>
        </w:p>
        <w:p w14:paraId="0D838274" w14:textId="16F7DCB8"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6" w:history="1">
            <w:r w:rsidRPr="00BD47C5">
              <w:rPr>
                <w:rStyle w:val="Hyperlink"/>
                <w:noProof/>
              </w:rPr>
              <w:t>Appendix B – City of Port Phillip map</w:t>
            </w:r>
            <w:r>
              <w:rPr>
                <w:noProof/>
                <w:webHidden/>
              </w:rPr>
              <w:tab/>
            </w:r>
            <w:r>
              <w:rPr>
                <w:noProof/>
                <w:webHidden/>
              </w:rPr>
              <w:fldChar w:fldCharType="begin"/>
            </w:r>
            <w:r>
              <w:rPr>
                <w:noProof/>
                <w:webHidden/>
              </w:rPr>
              <w:instrText xml:space="preserve"> PAGEREF _Toc235521276 \h </w:instrText>
            </w:r>
            <w:r>
              <w:rPr>
                <w:noProof/>
                <w:webHidden/>
              </w:rPr>
            </w:r>
            <w:r>
              <w:rPr>
                <w:noProof/>
                <w:webHidden/>
              </w:rPr>
              <w:fldChar w:fldCharType="separate"/>
            </w:r>
            <w:r w:rsidR="00280C72">
              <w:rPr>
                <w:noProof/>
                <w:webHidden/>
              </w:rPr>
              <w:t>21</w:t>
            </w:r>
            <w:r>
              <w:rPr>
                <w:noProof/>
                <w:webHidden/>
              </w:rPr>
              <w:fldChar w:fldCharType="end"/>
            </w:r>
          </w:hyperlink>
        </w:p>
        <w:p w14:paraId="09305850" w14:textId="1E067B60" w:rsidR="00841967" w:rsidRDefault="00841967">
          <w:pPr>
            <w:pStyle w:val="TOC2"/>
            <w:rPr>
              <w:rFonts w:asciiTheme="minorHAnsi" w:eastAsiaTheme="minorEastAsia" w:hAnsiTheme="minorHAnsi" w:cstheme="minorBidi"/>
              <w:noProof/>
              <w:color w:val="auto"/>
              <w:kern w:val="2"/>
              <w:szCs w:val="24"/>
              <w:lang w:eastAsia="en-AU"/>
              <w14:ligatures w14:val="standardContextual"/>
            </w:rPr>
          </w:pPr>
          <w:hyperlink w:anchor="_Toc235521277" w:history="1">
            <w:r w:rsidRPr="00BD47C5">
              <w:rPr>
                <w:rStyle w:val="Hyperlink"/>
                <w:noProof/>
              </w:rPr>
              <w:t>Appendix C – Grant terms and conditions</w:t>
            </w:r>
            <w:r>
              <w:rPr>
                <w:noProof/>
                <w:webHidden/>
              </w:rPr>
              <w:tab/>
            </w:r>
            <w:r>
              <w:rPr>
                <w:noProof/>
                <w:webHidden/>
              </w:rPr>
              <w:fldChar w:fldCharType="begin"/>
            </w:r>
            <w:r>
              <w:rPr>
                <w:noProof/>
                <w:webHidden/>
              </w:rPr>
              <w:instrText xml:space="preserve"> PAGEREF _Toc235521277 \h </w:instrText>
            </w:r>
            <w:r>
              <w:rPr>
                <w:noProof/>
                <w:webHidden/>
              </w:rPr>
            </w:r>
            <w:r>
              <w:rPr>
                <w:noProof/>
                <w:webHidden/>
              </w:rPr>
              <w:fldChar w:fldCharType="separate"/>
            </w:r>
            <w:r w:rsidR="00280C72">
              <w:rPr>
                <w:noProof/>
                <w:webHidden/>
              </w:rPr>
              <w:t>22</w:t>
            </w:r>
            <w:r>
              <w:rPr>
                <w:noProof/>
                <w:webHidden/>
              </w:rPr>
              <w:fldChar w:fldCharType="end"/>
            </w:r>
          </w:hyperlink>
        </w:p>
        <w:p w14:paraId="1DEC196B" w14:textId="1EB8A312" w:rsidR="00F957EA" w:rsidRDefault="00F957EA">
          <w:r>
            <w:rPr>
              <w:b/>
              <w:bCs/>
              <w:noProof/>
            </w:rPr>
            <w:fldChar w:fldCharType="end"/>
          </w:r>
        </w:p>
      </w:sdtContent>
    </w:sdt>
    <w:p w14:paraId="2AFE6931" w14:textId="77777777" w:rsidR="00F957EA" w:rsidRDefault="00F957EA" w:rsidP="003E4979"/>
    <w:p w14:paraId="6B5EFF8E" w14:textId="76AD410A" w:rsidR="003E4979" w:rsidRDefault="003E4979">
      <w:pPr>
        <w:spacing w:line="259" w:lineRule="auto"/>
      </w:pPr>
      <w:r>
        <w:br w:type="page"/>
      </w:r>
    </w:p>
    <w:p w14:paraId="1181EF47" w14:textId="4B8CE122" w:rsidR="00032E27" w:rsidRDefault="228AEE55" w:rsidP="00CD0BEE">
      <w:pPr>
        <w:pStyle w:val="Heading2"/>
      </w:pPr>
      <w:bookmarkStart w:id="1" w:name="_Toc235521244"/>
      <w:r>
        <w:lastRenderedPageBreak/>
        <w:t xml:space="preserve">Acknowledgment of </w:t>
      </w:r>
      <w:r w:rsidR="6A8A7652">
        <w:t>C</w:t>
      </w:r>
      <w:r>
        <w:t>ountry</w:t>
      </w:r>
      <w:bookmarkEnd w:id="1"/>
    </w:p>
    <w:p w14:paraId="7B15D9AE" w14:textId="54DCCDF9" w:rsidR="00032E27" w:rsidRPr="00274D83" w:rsidRDefault="0053160E" w:rsidP="0053160E">
      <w:pPr>
        <w:jc w:val="both"/>
        <w:rPr>
          <w:color w:val="auto"/>
        </w:rPr>
      </w:pPr>
      <w:r w:rsidRPr="00274D83">
        <w:rPr>
          <w:color w:val="auto"/>
        </w:rPr>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r w:rsidR="00B25F51" w:rsidRPr="00274D83">
        <w:rPr>
          <w:color w:val="auto"/>
        </w:rPr>
        <w:t>.</w:t>
      </w:r>
    </w:p>
    <w:p w14:paraId="6B89EF32" w14:textId="61A0F485" w:rsidR="00032E27" w:rsidRDefault="70F7F9FB" w:rsidP="00CD0BEE">
      <w:pPr>
        <w:pStyle w:val="Heading2"/>
      </w:pPr>
      <w:bookmarkStart w:id="2" w:name="_Toc235521245"/>
      <w:r>
        <w:t xml:space="preserve">Introduction </w:t>
      </w:r>
      <w:r w:rsidR="228AEE55">
        <w:t xml:space="preserve">to </w:t>
      </w:r>
      <w:r w:rsidR="34266AD3">
        <w:t>Cultural Development Fund</w:t>
      </w:r>
      <w:bookmarkEnd w:id="2"/>
      <w:r w:rsidR="34266AD3">
        <w:t xml:space="preserve"> </w:t>
      </w:r>
    </w:p>
    <w:p w14:paraId="25B87423" w14:textId="7617BF47" w:rsidR="00E13CD0" w:rsidRPr="00274D83" w:rsidRDefault="00E13CD0" w:rsidP="007D3134">
      <w:pPr>
        <w:spacing w:before="120"/>
        <w:rPr>
          <w:rStyle w:val="Strong"/>
          <w:b w:val="0"/>
          <w:bCs w:val="0"/>
          <w:color w:val="auto"/>
        </w:rPr>
      </w:pPr>
      <w:r w:rsidRPr="00274D83">
        <w:rPr>
          <w:rStyle w:val="Strong"/>
          <w:b w:val="0"/>
          <w:bCs w:val="0"/>
          <w:color w:val="auto"/>
        </w:rPr>
        <w:t>The CDF</w:t>
      </w:r>
      <w:r w:rsidR="00274D83" w:rsidRPr="00274D83">
        <w:rPr>
          <w:rStyle w:val="Strong"/>
          <w:b w:val="0"/>
          <w:bCs w:val="0"/>
          <w:color w:val="auto"/>
        </w:rPr>
        <w:t xml:space="preserve"> </w:t>
      </w:r>
      <w:r w:rsidRPr="00274D83">
        <w:rPr>
          <w:rStyle w:val="Strong"/>
          <w:b w:val="0"/>
          <w:bCs w:val="0"/>
          <w:color w:val="auto"/>
        </w:rPr>
        <w:t xml:space="preserve">Festivals and Events grant </w:t>
      </w:r>
      <w:proofErr w:type="gramStart"/>
      <w:r w:rsidRPr="00274D83">
        <w:rPr>
          <w:rStyle w:val="Strong"/>
          <w:b w:val="0"/>
          <w:bCs w:val="0"/>
          <w:color w:val="auto"/>
        </w:rPr>
        <w:t>offers</w:t>
      </w:r>
      <w:proofErr w:type="gramEnd"/>
      <w:r w:rsidRPr="00274D83">
        <w:rPr>
          <w:rStyle w:val="Strong"/>
          <w:b w:val="0"/>
          <w:bCs w:val="0"/>
          <w:color w:val="auto"/>
        </w:rPr>
        <w:t xml:space="preserve"> arts, cultural, trader and community organisations the opportunity to apply for funding to deliver festivals and events in the City of Port Phillip that foster cultural participation, celebrate creativity and diversity, strengthen community connection and contribute to a vibrant, inclusive and thriving city.</w:t>
      </w:r>
    </w:p>
    <w:p w14:paraId="4260C539" w14:textId="3926EF55" w:rsidR="000C2D7B" w:rsidRDefault="007D3134" w:rsidP="007D3134">
      <w:pPr>
        <w:spacing w:before="120"/>
      </w:pPr>
      <w:r w:rsidRPr="00B473FB">
        <w:t xml:space="preserve">This fund is intended for seed and development </w:t>
      </w:r>
      <w:proofErr w:type="gramStart"/>
      <w:r w:rsidRPr="00B473FB">
        <w:t>funding</w:t>
      </w:r>
      <w:proofErr w:type="gramEnd"/>
      <w:r w:rsidRPr="00B473FB">
        <w:t xml:space="preserve"> and applicants are encouraged to seek out other sources of sponsorship</w:t>
      </w:r>
      <w:r>
        <w:t xml:space="preserve"> and in-kind contributions</w:t>
      </w:r>
      <w:r w:rsidRPr="00B473FB">
        <w:t xml:space="preserve"> to complement the support of council.</w:t>
      </w:r>
    </w:p>
    <w:p w14:paraId="60E35ABF" w14:textId="683ACD37" w:rsidR="00B0260B" w:rsidRDefault="34266AD3" w:rsidP="00C86051">
      <w:pPr>
        <w:rPr>
          <w:rStyle w:val="Heading3Char"/>
        </w:rPr>
      </w:pPr>
      <w:bookmarkStart w:id="3" w:name="_Toc235521246"/>
      <w:r w:rsidRPr="34EBE9C9">
        <w:rPr>
          <w:rStyle w:val="Heading3Char"/>
        </w:rPr>
        <w:t xml:space="preserve">Grant </w:t>
      </w:r>
      <w:r w:rsidR="0EE4E555" w:rsidRPr="34EBE9C9">
        <w:rPr>
          <w:rStyle w:val="Heading3Char"/>
        </w:rPr>
        <w:t>o</w:t>
      </w:r>
      <w:r w:rsidR="228AEE55" w:rsidRPr="34EBE9C9">
        <w:rPr>
          <w:rStyle w:val="Heading3Char"/>
        </w:rPr>
        <w:t>bjectives</w:t>
      </w:r>
      <w:bookmarkEnd w:id="3"/>
    </w:p>
    <w:p w14:paraId="17DE69F8" w14:textId="77777777" w:rsidR="00BC17B7" w:rsidRPr="00274D83" w:rsidRDefault="00BC17B7" w:rsidP="00841967">
      <w:pPr>
        <w:pStyle w:val="NormalBullets"/>
        <w:rPr>
          <w:b/>
          <w:lang w:eastAsia="en-AU"/>
        </w:rPr>
      </w:pPr>
      <w:bookmarkStart w:id="4" w:name="_bookmark2"/>
      <w:bookmarkEnd w:id="4"/>
      <w:r w:rsidRPr="00274D83">
        <w:rPr>
          <w:lang w:eastAsia="en-AU"/>
        </w:rPr>
        <w:t>Support vibrant festivals and events that contribute to the cultural life, identity and creative profile of Port Phillip.</w:t>
      </w:r>
    </w:p>
    <w:p w14:paraId="4A9400FF" w14:textId="77777777" w:rsidR="00BC17B7" w:rsidRPr="00274D83" w:rsidRDefault="00BC17B7" w:rsidP="00841967">
      <w:pPr>
        <w:pStyle w:val="NormalBullets"/>
        <w:rPr>
          <w:b/>
          <w:lang w:eastAsia="en-AU"/>
        </w:rPr>
      </w:pPr>
      <w:r w:rsidRPr="00274D83">
        <w:rPr>
          <w:lang w:eastAsia="en-AU"/>
        </w:rPr>
        <w:t>Support participation, inclusion and community connection through festivals and events.</w:t>
      </w:r>
    </w:p>
    <w:p w14:paraId="2AF71AEE" w14:textId="77777777" w:rsidR="00BC17B7" w:rsidRPr="00274D83" w:rsidRDefault="00BC17B7" w:rsidP="00841967">
      <w:pPr>
        <w:pStyle w:val="NormalBullets"/>
        <w:rPr>
          <w:b/>
          <w:lang w:eastAsia="en-AU"/>
        </w:rPr>
      </w:pPr>
      <w:r w:rsidRPr="00274D83">
        <w:rPr>
          <w:lang w:eastAsia="en-AU"/>
        </w:rPr>
        <w:t>Support capacity building, partnerships, collaboration and sustainable event development.</w:t>
      </w:r>
    </w:p>
    <w:p w14:paraId="278BF692" w14:textId="77777777" w:rsidR="000D173E" w:rsidRPr="00274D83" w:rsidRDefault="000D173E" w:rsidP="004B203B">
      <w:pPr>
        <w:pStyle w:val="ListParagraph"/>
        <w:numPr>
          <w:ilvl w:val="0"/>
          <w:numId w:val="20"/>
        </w:numPr>
        <w:rPr>
          <w:noProof/>
          <w:lang w:eastAsia="en-AU"/>
        </w:rPr>
      </w:pPr>
      <w:r w:rsidRPr="00274D83">
        <w:rPr>
          <w:noProof/>
          <w:lang w:eastAsia="en-AU"/>
        </w:rPr>
        <w:t>Support festivals and events that activate places, attract audiences and contribute to vibrant neighbourhoods, precincts and local economic activity.</w:t>
      </w:r>
    </w:p>
    <w:p w14:paraId="66A77999" w14:textId="60414C68" w:rsidR="00E71C39" w:rsidRDefault="2812DB2D" w:rsidP="00BC17B7">
      <w:pPr>
        <w:pStyle w:val="Heading3"/>
      </w:pPr>
      <w:bookmarkStart w:id="5" w:name="_Toc235521247"/>
      <w:r>
        <w:t xml:space="preserve">Council </w:t>
      </w:r>
      <w:r w:rsidR="4C194F64">
        <w:t>p</w:t>
      </w:r>
      <w:r>
        <w:t>riorities</w:t>
      </w:r>
      <w:bookmarkEnd w:id="5"/>
    </w:p>
    <w:p w14:paraId="1E725CFC" w14:textId="77777777" w:rsidR="00357F98" w:rsidRPr="00274D83" w:rsidRDefault="00357F98" w:rsidP="00357F98">
      <w:pPr>
        <w:rPr>
          <w:color w:val="auto"/>
        </w:rPr>
      </w:pPr>
      <w:r w:rsidRPr="00274D83">
        <w:rPr>
          <w:color w:val="auto"/>
        </w:rPr>
        <w:t>In the City of Port Phillip, festivals and events play an important role in creating a vibrant, inclusive and connected community.</w:t>
      </w:r>
    </w:p>
    <w:p w14:paraId="2465FE00" w14:textId="4CBA2A71" w:rsidR="00357F98" w:rsidRPr="00274D83" w:rsidRDefault="00357F98" w:rsidP="00357F98">
      <w:pPr>
        <w:rPr>
          <w:color w:val="auto"/>
        </w:rPr>
      </w:pPr>
      <w:r w:rsidRPr="00274D83">
        <w:rPr>
          <w:color w:val="auto"/>
        </w:rPr>
        <w:t xml:space="preserve">Festivals and events funded through the Cultural Development Fund should contribute to the </w:t>
      </w:r>
      <w:hyperlink r:id="rId12" w:history="1">
        <w:r w:rsidRPr="00274D83">
          <w:rPr>
            <w:rStyle w:val="Hyperlink"/>
            <w:color w:val="auto"/>
          </w:rPr>
          <w:t>Council Plan 2025-2035</w:t>
        </w:r>
      </w:hyperlink>
      <w:r w:rsidRPr="00274D83">
        <w:rPr>
          <w:color w:val="auto"/>
        </w:rPr>
        <w:t xml:space="preserve"> strategic direction </w:t>
      </w:r>
      <w:r w:rsidRPr="00274D83">
        <w:rPr>
          <w:b/>
          <w:bCs/>
          <w:color w:val="auto"/>
        </w:rPr>
        <w:t>A Vibrant and Thriving Community</w:t>
      </w:r>
      <w:r w:rsidRPr="00274D83">
        <w:rPr>
          <w:color w:val="auto"/>
        </w:rPr>
        <w:t>, particularly by supporting arts, culture, creativity, participation, inclusion, community connection and local cultural development.</w:t>
      </w:r>
    </w:p>
    <w:p w14:paraId="46B0695B" w14:textId="77CE004B" w:rsidR="00357F98" w:rsidRPr="00274D83" w:rsidRDefault="00357F98" w:rsidP="00357F98">
      <w:pPr>
        <w:rPr>
          <w:color w:val="auto"/>
        </w:rPr>
      </w:pPr>
      <w:r w:rsidRPr="00274D83">
        <w:rPr>
          <w:color w:val="auto"/>
        </w:rPr>
        <w:t>Applications will be assessed on how well they deliver benefits for the Port Phillip community and align with Council priorities.</w:t>
      </w:r>
    </w:p>
    <w:p w14:paraId="7729A721" w14:textId="77777777" w:rsidR="00357F98" w:rsidRPr="00357F98" w:rsidRDefault="00357F98" w:rsidP="00357F98"/>
    <w:p w14:paraId="658689AD" w14:textId="004B0D6F" w:rsidR="00C17544" w:rsidRDefault="00C17544" w:rsidP="00BB71C8">
      <w:pPr>
        <w:pStyle w:val="Heading3"/>
      </w:pPr>
      <w:bookmarkStart w:id="6" w:name="_Toc141257968"/>
      <w:bookmarkStart w:id="7" w:name="_Toc235521248"/>
      <w:r>
        <w:lastRenderedPageBreak/>
        <w:t>Guiding Council Strategy</w:t>
      </w:r>
      <w:bookmarkEnd w:id="6"/>
      <w:bookmarkEnd w:id="7"/>
      <w:r>
        <w:t xml:space="preserve"> </w:t>
      </w:r>
    </w:p>
    <w:p w14:paraId="601C8412" w14:textId="7582DA57" w:rsidR="0047549F" w:rsidRPr="00274D83" w:rsidRDefault="0047549F" w:rsidP="0047549F">
      <w:pPr>
        <w:rPr>
          <w:color w:val="auto"/>
        </w:rPr>
      </w:pPr>
      <w:bookmarkStart w:id="8" w:name="_Hlk235510127"/>
      <w:r w:rsidRPr="00274D83">
        <w:rPr>
          <w:color w:val="auto"/>
        </w:rPr>
        <w:t xml:space="preserve">The Cultural Development Fund supports the strategic direction of the </w:t>
      </w:r>
      <w:hyperlink r:id="rId13" w:history="1">
        <w:r w:rsidRPr="00274D83">
          <w:rPr>
            <w:rStyle w:val="Hyperlink"/>
            <w:color w:val="auto"/>
          </w:rPr>
          <w:t>draft Creative Port Phillip Strategy</w:t>
        </w:r>
      </w:hyperlink>
      <w:r w:rsidRPr="00274D83">
        <w:rPr>
          <w:color w:val="auto"/>
        </w:rPr>
        <w:t>, which provides a framework for supporting cultural participation, creative experiences, inclusion, community connection and the development of artists, creative organisations and creative industries.</w:t>
      </w:r>
    </w:p>
    <w:bookmarkEnd w:id="8"/>
    <w:p w14:paraId="41039A27" w14:textId="7DCA8684" w:rsidR="0047549F" w:rsidRPr="00274D83" w:rsidRDefault="0047549F" w:rsidP="0047549F">
      <w:pPr>
        <w:rPr>
          <w:color w:val="auto"/>
        </w:rPr>
      </w:pPr>
      <w:r w:rsidRPr="00274D83">
        <w:rPr>
          <w:color w:val="auto"/>
        </w:rPr>
        <w:t xml:space="preserve">The Festivals and Events Program is also informed by Council's current </w:t>
      </w:r>
      <w:hyperlink r:id="rId14" w:history="1">
        <w:r w:rsidRPr="00274D83">
          <w:rPr>
            <w:rStyle w:val="Hyperlink"/>
            <w:color w:val="auto"/>
          </w:rPr>
          <w:t>Events Strategy</w:t>
        </w:r>
      </w:hyperlink>
      <w:r w:rsidRPr="00274D83">
        <w:rPr>
          <w:color w:val="auto"/>
        </w:rPr>
        <w:t xml:space="preserve"> and related event policies and procedures.</w:t>
      </w:r>
    </w:p>
    <w:p w14:paraId="6AF0878F" w14:textId="423DAE6C" w:rsidR="0047549F" w:rsidRPr="0047549F" w:rsidRDefault="0047549F" w:rsidP="0047549F">
      <w:pPr>
        <w:rPr>
          <w:color w:val="00B0F0"/>
        </w:rPr>
      </w:pPr>
      <w:r w:rsidRPr="00274D83">
        <w:rPr>
          <w:color w:val="auto"/>
        </w:rPr>
        <w:t>Applications that demonstrate strong alignment with these objectives will be well placed to contribute to Council's vision for a creative, connected and thriving Port Phillip community</w:t>
      </w:r>
      <w:r w:rsidRPr="0047549F">
        <w:rPr>
          <w:color w:val="00B0F0"/>
        </w:rPr>
        <w:t>.</w:t>
      </w:r>
    </w:p>
    <w:p w14:paraId="41899493" w14:textId="77777777" w:rsidR="00C17544" w:rsidRPr="00D52323" w:rsidRDefault="00C17544" w:rsidP="34EBE9C9">
      <w:pPr>
        <w:pStyle w:val="Heading2"/>
        <w:rPr>
          <w:rStyle w:val="Strong"/>
          <w:b/>
        </w:rPr>
      </w:pPr>
      <w:bookmarkStart w:id="9" w:name="_Community_Grants_fFunding"/>
      <w:bookmarkStart w:id="10" w:name="_Community_Grants_funding"/>
      <w:bookmarkStart w:id="11" w:name="_Toc141257969"/>
      <w:bookmarkStart w:id="12" w:name="_Toc235521249"/>
      <w:bookmarkStart w:id="13" w:name="_Toc76044681"/>
      <w:bookmarkEnd w:id="9"/>
      <w:bookmarkEnd w:id="10"/>
      <w:r w:rsidRPr="00655F9D">
        <w:rPr>
          <w:rStyle w:val="Strong"/>
          <w:b/>
        </w:rPr>
        <w:t>Funding Tiers</w:t>
      </w:r>
      <w:bookmarkEnd w:id="11"/>
      <w:bookmarkEnd w:id="12"/>
    </w:p>
    <w:p w14:paraId="02131970" w14:textId="77777777" w:rsidR="00655F9D" w:rsidRPr="00274D83" w:rsidRDefault="00655F9D" w:rsidP="00655F9D">
      <w:pPr>
        <w:rPr>
          <w:color w:val="auto"/>
        </w:rPr>
      </w:pPr>
      <w:r w:rsidRPr="00274D83">
        <w:rPr>
          <w:color w:val="auto"/>
        </w:rPr>
        <w:t xml:space="preserve">All events are categorised into two tiers to ensure the </w:t>
      </w:r>
      <w:proofErr w:type="gramStart"/>
      <w:r w:rsidRPr="00274D83">
        <w:rPr>
          <w:color w:val="auto"/>
        </w:rPr>
        <w:t>application,</w:t>
      </w:r>
      <w:proofErr w:type="gramEnd"/>
      <w:r w:rsidRPr="00274D83">
        <w:rPr>
          <w:color w:val="auto"/>
        </w:rPr>
        <w:t xml:space="preserve"> assessment and subsequent grant allocation is equitable and proportionate to the scale of the event and level of investment requested.</w:t>
      </w:r>
    </w:p>
    <w:p w14:paraId="5615968E" w14:textId="31C3968F" w:rsidR="00C17544" w:rsidRPr="00274D83" w:rsidRDefault="00655F9D" w:rsidP="00655F9D">
      <w:pPr>
        <w:rPr>
          <w:color w:val="auto"/>
        </w:rPr>
      </w:pPr>
      <w:r w:rsidRPr="00274D83">
        <w:rPr>
          <w:color w:val="auto"/>
        </w:rPr>
        <w:t>Tier Two applicants are expected to demonstrate a stronger level of delivery against the grant objectives than Tier One applicants. Assessment of Tier One events will be proportionate to the capacity and resources of smaller organisations, volunteer-led groups and emerging events.</w:t>
      </w:r>
    </w:p>
    <w:tbl>
      <w:tblPr>
        <w:tblStyle w:val="TableGrid"/>
        <w:tblW w:w="10343" w:type="dxa"/>
        <w:tblLook w:val="04A0" w:firstRow="1" w:lastRow="0" w:firstColumn="1" w:lastColumn="0" w:noHBand="0" w:noVBand="1"/>
      </w:tblPr>
      <w:tblGrid>
        <w:gridCol w:w="1178"/>
        <w:gridCol w:w="1710"/>
        <w:gridCol w:w="1934"/>
        <w:gridCol w:w="2906"/>
        <w:gridCol w:w="2615"/>
      </w:tblGrid>
      <w:tr w:rsidR="00A5774B" w14:paraId="2F857888" w14:textId="77777777" w:rsidTr="00981168">
        <w:trPr>
          <w:trHeight w:val="300"/>
        </w:trPr>
        <w:tc>
          <w:tcPr>
            <w:tcW w:w="1178" w:type="dxa"/>
            <w:shd w:val="clear" w:color="auto" w:fill="B4C6E7" w:themeFill="accent5" w:themeFillTint="66"/>
          </w:tcPr>
          <w:p w14:paraId="153DA68C" w14:textId="77777777" w:rsidR="00A5774B" w:rsidRDefault="00A5774B" w:rsidP="00A5774B"/>
        </w:tc>
        <w:tc>
          <w:tcPr>
            <w:tcW w:w="1710" w:type="dxa"/>
            <w:shd w:val="clear" w:color="auto" w:fill="B4C6E7" w:themeFill="accent5" w:themeFillTint="66"/>
            <w:vAlign w:val="center"/>
          </w:tcPr>
          <w:p w14:paraId="792AFDFB" w14:textId="38A1B733" w:rsidR="00A5774B" w:rsidRPr="00274D83" w:rsidRDefault="00A5774B" w:rsidP="00A5774B">
            <w:pPr>
              <w:rPr>
                <w:b/>
                <w:bCs/>
                <w:color w:val="auto"/>
              </w:rPr>
            </w:pPr>
            <w:r w:rsidRPr="00274D83">
              <w:rPr>
                <w:rStyle w:val="Strong"/>
                <w:color w:val="auto"/>
              </w:rPr>
              <w:t>Attendance &amp; Reach</w:t>
            </w:r>
          </w:p>
        </w:tc>
        <w:tc>
          <w:tcPr>
            <w:tcW w:w="1934" w:type="dxa"/>
            <w:shd w:val="clear" w:color="auto" w:fill="B4C6E7" w:themeFill="accent5" w:themeFillTint="66"/>
            <w:vAlign w:val="center"/>
          </w:tcPr>
          <w:p w14:paraId="015E7E13" w14:textId="5CA5873D" w:rsidR="00A5774B" w:rsidRPr="00274D83" w:rsidRDefault="00A5774B" w:rsidP="00A5774B">
            <w:pPr>
              <w:rPr>
                <w:b/>
                <w:bCs/>
                <w:color w:val="auto"/>
              </w:rPr>
            </w:pPr>
            <w:r w:rsidRPr="00274D83">
              <w:rPr>
                <w:rStyle w:val="Strong"/>
                <w:color w:val="auto"/>
              </w:rPr>
              <w:t>Cultural &amp; Community Outcomes</w:t>
            </w:r>
          </w:p>
        </w:tc>
        <w:tc>
          <w:tcPr>
            <w:tcW w:w="2906" w:type="dxa"/>
            <w:shd w:val="clear" w:color="auto" w:fill="B4C6E7" w:themeFill="accent5" w:themeFillTint="66"/>
            <w:vAlign w:val="center"/>
          </w:tcPr>
          <w:p w14:paraId="211743FE" w14:textId="62A7C7ED" w:rsidR="00A5774B" w:rsidRPr="00274D83" w:rsidRDefault="00A5774B" w:rsidP="00A5774B">
            <w:pPr>
              <w:rPr>
                <w:b/>
                <w:bCs/>
                <w:color w:val="auto"/>
              </w:rPr>
            </w:pPr>
            <w:r w:rsidRPr="00274D83">
              <w:rPr>
                <w:rStyle w:val="Strong"/>
                <w:color w:val="auto"/>
              </w:rPr>
              <w:t>Partnerships &amp; Inclusion</w:t>
            </w:r>
          </w:p>
        </w:tc>
        <w:tc>
          <w:tcPr>
            <w:tcW w:w="2615" w:type="dxa"/>
            <w:shd w:val="clear" w:color="auto" w:fill="B4C6E7" w:themeFill="accent5" w:themeFillTint="66"/>
            <w:vAlign w:val="center"/>
          </w:tcPr>
          <w:p w14:paraId="14983DBF" w14:textId="7A7B1FB6" w:rsidR="00A5774B" w:rsidRPr="00274D83" w:rsidRDefault="00A5774B" w:rsidP="00A5774B">
            <w:pPr>
              <w:rPr>
                <w:b/>
                <w:bCs/>
                <w:color w:val="auto"/>
              </w:rPr>
            </w:pPr>
            <w:r w:rsidRPr="00274D83">
              <w:rPr>
                <w:rStyle w:val="Strong"/>
                <w:color w:val="auto"/>
              </w:rPr>
              <w:t>Planning &amp; Sustainability</w:t>
            </w:r>
          </w:p>
        </w:tc>
      </w:tr>
      <w:tr w:rsidR="00F10CC5" w:rsidRPr="00E53F07" w14:paraId="712DDAF9" w14:textId="77777777" w:rsidTr="00981168">
        <w:trPr>
          <w:trHeight w:val="2641"/>
        </w:trPr>
        <w:tc>
          <w:tcPr>
            <w:tcW w:w="1178" w:type="dxa"/>
            <w:shd w:val="clear" w:color="auto" w:fill="B4C6E7" w:themeFill="accent5" w:themeFillTint="66"/>
          </w:tcPr>
          <w:p w14:paraId="2E6DB4B7" w14:textId="505A3CDE" w:rsidR="00F10CC5" w:rsidRPr="004D717E" w:rsidRDefault="00F10CC5" w:rsidP="00F10CC5">
            <w:pPr>
              <w:rPr>
                <w:b/>
              </w:rPr>
            </w:pPr>
            <w:r w:rsidRPr="13D89371">
              <w:rPr>
                <w:b/>
              </w:rPr>
              <w:t>Tier One $</w:t>
            </w:r>
            <w:r w:rsidRPr="13D89371">
              <w:rPr>
                <w:b/>
                <w:bCs/>
              </w:rPr>
              <w:t>6</w:t>
            </w:r>
            <w:r w:rsidRPr="13D89371">
              <w:rPr>
                <w:b/>
              </w:rPr>
              <w:t>,000- $1</w:t>
            </w:r>
            <w:r>
              <w:rPr>
                <w:b/>
              </w:rPr>
              <w:t>2</w:t>
            </w:r>
            <w:r w:rsidRPr="13D89371">
              <w:rPr>
                <w:b/>
              </w:rPr>
              <w:t>,000</w:t>
            </w:r>
          </w:p>
        </w:tc>
        <w:tc>
          <w:tcPr>
            <w:tcW w:w="1710" w:type="dxa"/>
            <w:vAlign w:val="center"/>
          </w:tcPr>
          <w:p w14:paraId="518E3780" w14:textId="7E2C76FD" w:rsidR="00386DD6" w:rsidRPr="00274D83" w:rsidRDefault="00FA7D02" w:rsidP="00F10CC5">
            <w:pPr>
              <w:rPr>
                <w:color w:val="auto"/>
              </w:rPr>
            </w:pPr>
            <w:r w:rsidRPr="00274D83">
              <w:rPr>
                <w:color w:val="auto"/>
              </w:rPr>
              <w:t>*</w:t>
            </w:r>
            <w:r w:rsidR="00F10CC5" w:rsidRPr="00274D83">
              <w:rPr>
                <w:color w:val="auto"/>
              </w:rPr>
              <w:t>Minimum 250 attendees.</w:t>
            </w:r>
            <w:r w:rsidR="00F10CC5" w:rsidRPr="00274D83">
              <w:rPr>
                <w:color w:val="auto"/>
              </w:rPr>
              <w:br/>
            </w:r>
          </w:p>
          <w:p w14:paraId="41BA8E42" w14:textId="2C263A10" w:rsidR="00F10CC5" w:rsidRPr="00274D83" w:rsidRDefault="00F10CC5" w:rsidP="00F10CC5">
            <w:pPr>
              <w:rPr>
                <w:color w:val="auto"/>
                <w:szCs w:val="24"/>
              </w:rPr>
            </w:pPr>
            <w:r w:rsidRPr="00274D83">
              <w:rPr>
                <w:color w:val="auto"/>
              </w:rPr>
              <w:t>Demonstrates local participation and community interest.</w:t>
            </w:r>
          </w:p>
        </w:tc>
        <w:tc>
          <w:tcPr>
            <w:tcW w:w="1934" w:type="dxa"/>
            <w:vAlign w:val="center"/>
          </w:tcPr>
          <w:p w14:paraId="1DD33A25" w14:textId="77777777" w:rsidR="00386DD6" w:rsidRPr="00274D83" w:rsidRDefault="00F10CC5" w:rsidP="00F10CC5">
            <w:pPr>
              <w:rPr>
                <w:color w:val="auto"/>
              </w:rPr>
            </w:pPr>
            <w:r w:rsidRPr="00274D83">
              <w:rPr>
                <w:color w:val="auto"/>
              </w:rPr>
              <w:t>Delivers cultural, creative or community benefit.</w:t>
            </w:r>
            <w:r w:rsidRPr="00274D83">
              <w:rPr>
                <w:color w:val="auto"/>
              </w:rPr>
              <w:br/>
            </w:r>
          </w:p>
          <w:p w14:paraId="2CF05DE5" w14:textId="73BFBD6F" w:rsidR="00F10CC5" w:rsidRPr="00274D83" w:rsidRDefault="00F10CC5" w:rsidP="00F10CC5">
            <w:pPr>
              <w:rPr>
                <w:color w:val="auto"/>
                <w:szCs w:val="24"/>
              </w:rPr>
            </w:pPr>
            <w:r w:rsidRPr="00274D83">
              <w:rPr>
                <w:color w:val="auto"/>
              </w:rPr>
              <w:t>Provides opportunities for participation, connection or local activation.</w:t>
            </w:r>
          </w:p>
        </w:tc>
        <w:tc>
          <w:tcPr>
            <w:tcW w:w="2906" w:type="dxa"/>
            <w:vAlign w:val="center"/>
          </w:tcPr>
          <w:p w14:paraId="4C696E1B" w14:textId="77777777" w:rsidR="00386DD6" w:rsidRPr="00274D83" w:rsidRDefault="00F10CC5" w:rsidP="00F10CC5">
            <w:pPr>
              <w:rPr>
                <w:color w:val="auto"/>
              </w:rPr>
            </w:pPr>
            <w:r w:rsidRPr="00274D83">
              <w:rPr>
                <w:color w:val="auto"/>
              </w:rPr>
              <w:t>Demonstrates local collaboration or partnerships where relevant.</w:t>
            </w:r>
            <w:r w:rsidRPr="00274D83">
              <w:rPr>
                <w:color w:val="auto"/>
              </w:rPr>
              <w:br/>
            </w:r>
          </w:p>
          <w:p w14:paraId="1C4EE92B" w14:textId="4B6A69CB" w:rsidR="00F10CC5" w:rsidRPr="00274D83" w:rsidRDefault="00F10CC5" w:rsidP="00F10CC5">
            <w:pPr>
              <w:rPr>
                <w:color w:val="auto"/>
                <w:szCs w:val="24"/>
              </w:rPr>
            </w:pPr>
            <w:r w:rsidRPr="00274D83">
              <w:rPr>
                <w:color w:val="auto"/>
              </w:rPr>
              <w:t>Considers accessibility and inclusion in event planning.</w:t>
            </w:r>
          </w:p>
        </w:tc>
        <w:tc>
          <w:tcPr>
            <w:tcW w:w="2615" w:type="dxa"/>
            <w:vAlign w:val="center"/>
          </w:tcPr>
          <w:p w14:paraId="5B216B82" w14:textId="77777777" w:rsidR="00386DD6" w:rsidRPr="00274D83" w:rsidRDefault="00F10CC5" w:rsidP="00F10CC5">
            <w:pPr>
              <w:rPr>
                <w:color w:val="auto"/>
              </w:rPr>
            </w:pPr>
            <w:r w:rsidRPr="00274D83">
              <w:rPr>
                <w:color w:val="auto"/>
              </w:rPr>
              <w:t>Demonstrates practical event planning and delivery.</w:t>
            </w:r>
            <w:r w:rsidRPr="00274D83">
              <w:rPr>
                <w:color w:val="auto"/>
              </w:rPr>
              <w:br/>
            </w:r>
          </w:p>
          <w:p w14:paraId="04DEC4BB" w14:textId="03B1E817" w:rsidR="00F10CC5" w:rsidRPr="00274D83" w:rsidRDefault="00F10CC5" w:rsidP="00F10CC5">
            <w:pPr>
              <w:rPr>
                <w:color w:val="auto"/>
                <w:szCs w:val="24"/>
              </w:rPr>
            </w:pPr>
            <w:r w:rsidRPr="00274D83">
              <w:rPr>
                <w:color w:val="auto"/>
              </w:rPr>
              <w:t>Considers environmental sustainability and waste reduction.</w:t>
            </w:r>
          </w:p>
        </w:tc>
      </w:tr>
      <w:tr w:rsidR="00981168" w:rsidRPr="00E53F07" w14:paraId="0C64DA49" w14:textId="77777777" w:rsidTr="00981168">
        <w:trPr>
          <w:trHeight w:val="300"/>
        </w:trPr>
        <w:tc>
          <w:tcPr>
            <w:tcW w:w="1178" w:type="dxa"/>
            <w:shd w:val="clear" w:color="auto" w:fill="B4C6E7" w:themeFill="accent5" w:themeFillTint="66"/>
          </w:tcPr>
          <w:p w14:paraId="073686A2" w14:textId="18FFF292" w:rsidR="00981168" w:rsidRPr="004D717E" w:rsidRDefault="00981168" w:rsidP="00981168">
            <w:pPr>
              <w:rPr>
                <w:b/>
                <w:bCs/>
              </w:rPr>
            </w:pPr>
            <w:r w:rsidRPr="34EBE9C9">
              <w:rPr>
                <w:b/>
                <w:bCs/>
              </w:rPr>
              <w:t xml:space="preserve">Tier Two </w:t>
            </w:r>
            <w:r>
              <w:br/>
            </w:r>
            <w:r w:rsidRPr="34EBE9C9">
              <w:rPr>
                <w:b/>
                <w:bCs/>
              </w:rPr>
              <w:t>$12,0</w:t>
            </w:r>
            <w:r w:rsidRPr="00274D83">
              <w:rPr>
                <w:b/>
                <w:bCs/>
                <w:color w:val="auto"/>
              </w:rPr>
              <w:t>01</w:t>
            </w:r>
            <w:r w:rsidRPr="00E60B7E">
              <w:rPr>
                <w:b/>
                <w:bCs/>
                <w:color w:val="00B0F0"/>
              </w:rPr>
              <w:t xml:space="preserve"> </w:t>
            </w:r>
            <w:r w:rsidRPr="34EBE9C9">
              <w:rPr>
                <w:b/>
                <w:bCs/>
              </w:rPr>
              <w:t>- $30,000</w:t>
            </w:r>
          </w:p>
        </w:tc>
        <w:tc>
          <w:tcPr>
            <w:tcW w:w="1710" w:type="dxa"/>
            <w:vAlign w:val="center"/>
          </w:tcPr>
          <w:p w14:paraId="14A47B9C" w14:textId="0ADDC4F8" w:rsidR="00981168" w:rsidRPr="00274D83" w:rsidRDefault="00FA7D02" w:rsidP="00981168">
            <w:pPr>
              <w:rPr>
                <w:color w:val="auto"/>
              </w:rPr>
            </w:pPr>
            <w:r w:rsidRPr="00274D83">
              <w:rPr>
                <w:color w:val="auto"/>
              </w:rPr>
              <w:t>*</w:t>
            </w:r>
            <w:r w:rsidR="00981168" w:rsidRPr="00274D83">
              <w:rPr>
                <w:color w:val="auto"/>
              </w:rPr>
              <w:t xml:space="preserve">Minimum 2,000 attendees, or demonstrates significant </w:t>
            </w:r>
            <w:r w:rsidR="00981168" w:rsidRPr="00274D83">
              <w:rPr>
                <w:color w:val="auto"/>
              </w:rPr>
              <w:lastRenderedPageBreak/>
              <w:t>cultural, community or economic impact.</w:t>
            </w:r>
            <w:r w:rsidR="00981168" w:rsidRPr="00274D83">
              <w:rPr>
                <w:color w:val="auto"/>
              </w:rPr>
              <w:br/>
            </w:r>
          </w:p>
          <w:p w14:paraId="51D7B836" w14:textId="716040D7" w:rsidR="00981168" w:rsidRPr="00274D83" w:rsidRDefault="00981168" w:rsidP="00981168">
            <w:pPr>
              <w:rPr>
                <w:color w:val="auto"/>
                <w:szCs w:val="24"/>
              </w:rPr>
            </w:pPr>
            <w:r w:rsidRPr="00274D83">
              <w:rPr>
                <w:color w:val="auto"/>
              </w:rPr>
              <w:t>Shows broad audience reach and engagement.</w:t>
            </w:r>
          </w:p>
        </w:tc>
        <w:tc>
          <w:tcPr>
            <w:tcW w:w="1934" w:type="dxa"/>
            <w:vAlign w:val="center"/>
          </w:tcPr>
          <w:p w14:paraId="39D768F6" w14:textId="77777777" w:rsidR="00981168" w:rsidRPr="00274D83" w:rsidRDefault="00981168" w:rsidP="00981168">
            <w:pPr>
              <w:rPr>
                <w:color w:val="auto"/>
              </w:rPr>
            </w:pPr>
            <w:r w:rsidRPr="00274D83">
              <w:rPr>
                <w:color w:val="auto"/>
              </w:rPr>
              <w:lastRenderedPageBreak/>
              <w:t xml:space="preserve">Delivers significant cultural, creative, community </w:t>
            </w:r>
            <w:r w:rsidRPr="00274D83">
              <w:rPr>
                <w:color w:val="auto"/>
              </w:rPr>
              <w:lastRenderedPageBreak/>
              <w:t>and/or place activation outcomes.</w:t>
            </w:r>
            <w:r w:rsidRPr="00274D83">
              <w:rPr>
                <w:color w:val="auto"/>
              </w:rPr>
              <w:br/>
            </w:r>
          </w:p>
          <w:p w14:paraId="5C696BA5" w14:textId="0526BAC2" w:rsidR="00981168" w:rsidRPr="00274D83" w:rsidRDefault="00981168" w:rsidP="00981168">
            <w:pPr>
              <w:rPr>
                <w:color w:val="auto"/>
                <w:szCs w:val="24"/>
              </w:rPr>
            </w:pPr>
            <w:r w:rsidRPr="00274D83">
              <w:rPr>
                <w:color w:val="auto"/>
              </w:rPr>
              <w:t>Contributes to the cultural life and identity of Port Phillip.</w:t>
            </w:r>
          </w:p>
        </w:tc>
        <w:tc>
          <w:tcPr>
            <w:tcW w:w="2906" w:type="dxa"/>
            <w:vAlign w:val="center"/>
          </w:tcPr>
          <w:p w14:paraId="6753A4A1" w14:textId="77777777" w:rsidR="00981168" w:rsidRPr="00274D83" w:rsidRDefault="00981168" w:rsidP="00981168">
            <w:pPr>
              <w:rPr>
                <w:color w:val="auto"/>
              </w:rPr>
            </w:pPr>
            <w:r w:rsidRPr="00274D83">
              <w:rPr>
                <w:color w:val="auto"/>
              </w:rPr>
              <w:lastRenderedPageBreak/>
              <w:t xml:space="preserve">Demonstrates meaningful partnerships with artists, organisations, businesses, traders or </w:t>
            </w:r>
            <w:r w:rsidRPr="00274D83">
              <w:rPr>
                <w:color w:val="auto"/>
              </w:rPr>
              <w:lastRenderedPageBreak/>
              <w:t>community groups.</w:t>
            </w:r>
            <w:r w:rsidRPr="00274D83">
              <w:rPr>
                <w:color w:val="auto"/>
              </w:rPr>
              <w:br/>
            </w:r>
          </w:p>
          <w:p w14:paraId="648E1BFE" w14:textId="17E27FF5" w:rsidR="00981168" w:rsidRPr="00274D83" w:rsidRDefault="00981168" w:rsidP="00981168">
            <w:pPr>
              <w:rPr>
                <w:color w:val="auto"/>
                <w:szCs w:val="24"/>
              </w:rPr>
            </w:pPr>
            <w:r w:rsidRPr="00274D83">
              <w:rPr>
                <w:color w:val="auto"/>
              </w:rPr>
              <w:t>Demonstrates strong approaches to accessibility, participation, inclusion and community engagement.</w:t>
            </w:r>
          </w:p>
        </w:tc>
        <w:tc>
          <w:tcPr>
            <w:tcW w:w="2615" w:type="dxa"/>
            <w:vAlign w:val="center"/>
          </w:tcPr>
          <w:p w14:paraId="36A541AA" w14:textId="77777777" w:rsidR="00981168" w:rsidRPr="00274D83" w:rsidRDefault="00981168" w:rsidP="00981168">
            <w:pPr>
              <w:rPr>
                <w:color w:val="auto"/>
              </w:rPr>
            </w:pPr>
            <w:r w:rsidRPr="00274D83">
              <w:rPr>
                <w:color w:val="auto"/>
              </w:rPr>
              <w:lastRenderedPageBreak/>
              <w:t>Demonstrates strong event planning, governance and risk management.</w:t>
            </w:r>
            <w:r w:rsidRPr="00274D83">
              <w:rPr>
                <w:color w:val="auto"/>
              </w:rPr>
              <w:br/>
            </w:r>
          </w:p>
          <w:p w14:paraId="0309072C" w14:textId="2C5F5188" w:rsidR="00981168" w:rsidRPr="00274D83" w:rsidRDefault="00A9168B" w:rsidP="00981168">
            <w:pPr>
              <w:rPr>
                <w:color w:val="auto"/>
                <w:szCs w:val="24"/>
              </w:rPr>
            </w:pPr>
            <w:r w:rsidRPr="00274D83">
              <w:rPr>
                <w:color w:val="auto"/>
              </w:rPr>
              <w:lastRenderedPageBreak/>
              <w:t>Demonstrates environmental sustainability and strong planning for the ongoing success and impact of the event.</w:t>
            </w:r>
          </w:p>
        </w:tc>
      </w:tr>
    </w:tbl>
    <w:p w14:paraId="7CC2DC86" w14:textId="77777777" w:rsidR="009D67C5" w:rsidRDefault="009D67C5" w:rsidP="007C17ED">
      <w:pPr>
        <w:spacing w:after="0" w:line="300" w:lineRule="atLeast"/>
        <w:rPr>
          <w:color w:val="00B0F0"/>
        </w:rPr>
      </w:pPr>
      <w:bookmarkStart w:id="14" w:name="_bookmark5"/>
      <w:bookmarkStart w:id="15" w:name="_Program_timeframes"/>
      <w:bookmarkStart w:id="16" w:name="_Toc76044688"/>
      <w:bookmarkEnd w:id="13"/>
      <w:bookmarkEnd w:id="14"/>
      <w:bookmarkEnd w:id="15"/>
    </w:p>
    <w:p w14:paraId="42B6D536" w14:textId="6C1D3B9A" w:rsidR="007C17ED" w:rsidRPr="00274D83" w:rsidRDefault="00B30697" w:rsidP="007C17ED">
      <w:pPr>
        <w:spacing w:after="0" w:line="300" w:lineRule="atLeast"/>
        <w:rPr>
          <w:color w:val="auto"/>
        </w:rPr>
      </w:pPr>
      <w:r w:rsidRPr="00274D83">
        <w:rPr>
          <w:color w:val="auto"/>
        </w:rPr>
        <w:t>*</w:t>
      </w:r>
      <w:r w:rsidR="007C17ED" w:rsidRPr="00274D83">
        <w:rPr>
          <w:color w:val="auto"/>
        </w:rPr>
        <w:t>Attendance numbers are indicative only and will be considered alongside the overall cultural, community, place-based and economic outcomes of the event. Events that demonstrate exceptional alignment with Council priorities may be considered outside these attendance thresholds where a clear rationale is provided.</w:t>
      </w:r>
    </w:p>
    <w:p w14:paraId="6395102B" w14:textId="77777777" w:rsidR="009D67C5" w:rsidRPr="00274D83" w:rsidRDefault="009D67C5" w:rsidP="009D67C5">
      <w:pPr>
        <w:spacing w:after="0" w:line="300" w:lineRule="atLeast"/>
        <w:rPr>
          <w:rFonts w:ascii="Segoe UI" w:eastAsia="Times New Roman" w:hAnsi="Segoe UI" w:cs="Segoe UI"/>
          <w:b/>
          <w:bCs/>
          <w:color w:val="auto"/>
          <w:sz w:val="21"/>
          <w:szCs w:val="21"/>
          <w:lang w:eastAsia="en-AU"/>
        </w:rPr>
      </w:pPr>
    </w:p>
    <w:p w14:paraId="15100F04" w14:textId="2707715F" w:rsidR="009D67C5" w:rsidRDefault="009D67C5" w:rsidP="009D67C5">
      <w:pPr>
        <w:spacing w:after="0" w:line="300" w:lineRule="atLeast"/>
        <w:rPr>
          <w:color w:val="auto"/>
        </w:rPr>
      </w:pPr>
      <w:r w:rsidRPr="00274D83">
        <w:rPr>
          <w:b/>
          <w:bCs/>
          <w:color w:val="auto"/>
        </w:rPr>
        <w:t>Multi-year funding eligibility is not determined by funding tier</w:t>
      </w:r>
      <w:r w:rsidRPr="00274D83">
        <w:rPr>
          <w:color w:val="auto"/>
        </w:rPr>
        <w:t>. Applicants from either Tier One or Tier Two may be considered for multi-year funding where they meet the eligibility requirements outlined in the Multi-Year Funding section.</w:t>
      </w:r>
    </w:p>
    <w:p w14:paraId="71B1DBEA" w14:textId="32BD4BAC" w:rsidR="00696AFF" w:rsidRPr="00D52323" w:rsidRDefault="00696AFF" w:rsidP="00696AFF">
      <w:pPr>
        <w:pStyle w:val="Heading2"/>
        <w:rPr>
          <w:rStyle w:val="Strong"/>
          <w:b/>
        </w:rPr>
      </w:pPr>
      <w:bookmarkStart w:id="17" w:name="_Toc235521250"/>
      <w:r>
        <w:rPr>
          <w:rStyle w:val="Strong"/>
          <w:b/>
        </w:rPr>
        <w:t>Multi-Year Funding</w:t>
      </w:r>
      <w:bookmarkEnd w:id="17"/>
    </w:p>
    <w:p w14:paraId="270F1B24" w14:textId="77777777" w:rsidR="008A6788" w:rsidRPr="00A40843" w:rsidRDefault="008A6788" w:rsidP="008A6788">
      <w:pPr>
        <w:rPr>
          <w:color w:val="auto"/>
        </w:rPr>
      </w:pPr>
      <w:r w:rsidRPr="00A40843">
        <w:rPr>
          <w:b/>
          <w:bCs/>
          <w:color w:val="auto"/>
        </w:rPr>
        <w:t>Eligibility for Multi-Year Funding</w:t>
      </w:r>
    </w:p>
    <w:p w14:paraId="0990EFBA" w14:textId="77777777" w:rsidR="008A6788" w:rsidRPr="00A40843" w:rsidRDefault="008A6788" w:rsidP="008A6788">
      <w:pPr>
        <w:rPr>
          <w:color w:val="auto"/>
        </w:rPr>
      </w:pPr>
      <w:r w:rsidRPr="00A40843">
        <w:rPr>
          <w:b/>
          <w:bCs/>
          <w:color w:val="auto"/>
        </w:rPr>
        <w:t>Multi-year funding may be available for established festivals and events that have been delivered within the City of Port Phillip for at least three consecutive years.</w:t>
      </w:r>
    </w:p>
    <w:p w14:paraId="1849562A" w14:textId="77777777" w:rsidR="008A6788" w:rsidRPr="00A40843" w:rsidRDefault="008A6788" w:rsidP="008A6788">
      <w:pPr>
        <w:rPr>
          <w:color w:val="auto"/>
        </w:rPr>
      </w:pPr>
      <w:r w:rsidRPr="00A40843">
        <w:rPr>
          <w:color w:val="auto"/>
        </w:rPr>
        <w:t>To be eligible for consideration, applicants must demonstrate:</w:t>
      </w:r>
    </w:p>
    <w:p w14:paraId="507B4773" w14:textId="77777777" w:rsidR="008A6788" w:rsidRPr="00696AFF" w:rsidRDefault="008A6788" w:rsidP="004B203B">
      <w:pPr>
        <w:pStyle w:val="ListParagraph"/>
      </w:pPr>
      <w:r w:rsidRPr="00696AFF">
        <w:t>a history of high-quality event delivery and effective event management within the City of Port Phillip</w:t>
      </w:r>
    </w:p>
    <w:p w14:paraId="2470D77A" w14:textId="77777777" w:rsidR="008A6788" w:rsidRPr="00A40843" w:rsidRDefault="008A6788" w:rsidP="004B203B">
      <w:pPr>
        <w:pStyle w:val="ListParagraph"/>
      </w:pPr>
      <w:r w:rsidRPr="00A40843">
        <w:t>alignment with relevant Council Plan objectives</w:t>
      </w:r>
    </w:p>
    <w:p w14:paraId="18072EDA" w14:textId="77777777" w:rsidR="008A6788" w:rsidRPr="00A40843" w:rsidRDefault="008A6788" w:rsidP="004B203B">
      <w:pPr>
        <w:pStyle w:val="ListParagraph"/>
      </w:pPr>
      <w:r w:rsidRPr="00A40843">
        <w:t>the organisational capacity to successfully deliver the proposed event over the funding period.</w:t>
      </w:r>
    </w:p>
    <w:p w14:paraId="669D1844" w14:textId="77777777" w:rsidR="008A6788" w:rsidRPr="00A40843" w:rsidRDefault="008A6788" w:rsidP="008A6788">
      <w:pPr>
        <w:rPr>
          <w:color w:val="auto"/>
        </w:rPr>
      </w:pPr>
      <w:r w:rsidRPr="00A40843">
        <w:rPr>
          <w:color w:val="auto"/>
        </w:rPr>
        <w:t>As part of the assessment process, eligible applicants may be recommended for funding of up to three years. The assessment panel will determine the recommended funding term based on the event's track record, organisational capacity, and alignment with program objectives.</w:t>
      </w:r>
    </w:p>
    <w:p w14:paraId="33B8D5F3" w14:textId="77777777" w:rsidR="008A6788" w:rsidRPr="00A40843" w:rsidRDefault="008A6788" w:rsidP="008A6788">
      <w:pPr>
        <w:rPr>
          <w:color w:val="auto"/>
        </w:rPr>
      </w:pPr>
      <w:r w:rsidRPr="00A40843">
        <w:rPr>
          <w:b/>
          <w:bCs/>
          <w:color w:val="auto"/>
        </w:rPr>
        <w:t>Conditions of Multi-Year Funding</w:t>
      </w:r>
    </w:p>
    <w:p w14:paraId="54F49EAC" w14:textId="77777777" w:rsidR="008A6788" w:rsidRPr="00A40843" w:rsidRDefault="008A6788" w:rsidP="008A6788">
      <w:pPr>
        <w:rPr>
          <w:color w:val="auto"/>
        </w:rPr>
      </w:pPr>
      <w:r w:rsidRPr="00A40843">
        <w:rPr>
          <w:b/>
          <w:bCs/>
          <w:color w:val="auto"/>
        </w:rPr>
        <w:t>Multi-year funding does not include multi-year event permit approval.</w:t>
      </w:r>
    </w:p>
    <w:p w14:paraId="47780CB1" w14:textId="77777777" w:rsidR="008A6788" w:rsidRPr="00A40843" w:rsidRDefault="008A6788" w:rsidP="008A6788">
      <w:pPr>
        <w:rPr>
          <w:color w:val="auto"/>
        </w:rPr>
      </w:pPr>
      <w:r w:rsidRPr="00A40843">
        <w:rPr>
          <w:color w:val="auto"/>
        </w:rPr>
        <w:t>Recipients approved for multi-year funding must:</w:t>
      </w:r>
    </w:p>
    <w:p w14:paraId="3F595EB1" w14:textId="77777777" w:rsidR="004B203B" w:rsidRDefault="008A6788" w:rsidP="004B203B">
      <w:pPr>
        <w:pStyle w:val="ListParagraph"/>
      </w:pPr>
      <w:r w:rsidRPr="00A40843">
        <w:lastRenderedPageBreak/>
        <w:t>comply with all conditions of any event permit issued by the City of Port Phillip</w:t>
      </w:r>
    </w:p>
    <w:p w14:paraId="040AF3C1" w14:textId="75EDD034" w:rsidR="008A6788" w:rsidRPr="00A40843" w:rsidRDefault="008A6788" w:rsidP="004B203B">
      <w:pPr>
        <w:pStyle w:val="ListParagraph"/>
      </w:pPr>
      <w:r w:rsidRPr="00A40843">
        <w:t>apply for and obtain an event permit for each annual delivery of the event</w:t>
      </w:r>
    </w:p>
    <w:p w14:paraId="3335D475" w14:textId="77777777" w:rsidR="008A6788" w:rsidRPr="00A40843" w:rsidRDefault="008A6788" w:rsidP="004B203B">
      <w:pPr>
        <w:pStyle w:val="ListParagraph"/>
      </w:pPr>
      <w:r w:rsidRPr="00A40843">
        <w:t>meet all funding agreement and reporting requirements throughout the funding period.</w:t>
      </w:r>
    </w:p>
    <w:p w14:paraId="33245FD3" w14:textId="77777777" w:rsidR="008A6788" w:rsidRPr="00A40843" w:rsidRDefault="008A6788" w:rsidP="008A6788">
      <w:pPr>
        <w:rPr>
          <w:color w:val="auto"/>
        </w:rPr>
      </w:pPr>
      <w:r w:rsidRPr="00A40843">
        <w:rPr>
          <w:color w:val="auto"/>
        </w:rPr>
        <w:t>Continued funding is subject to compliance with funding agreement conditions and all relevant Council approvals and permits.</w:t>
      </w:r>
    </w:p>
    <w:p w14:paraId="6884EA08" w14:textId="77777777" w:rsidR="008A6788" w:rsidRPr="008A6788" w:rsidRDefault="008A6788" w:rsidP="008A6788"/>
    <w:p w14:paraId="2B07F821" w14:textId="2CDA335A" w:rsidR="00C17544" w:rsidRPr="00827230" w:rsidRDefault="00C17544" w:rsidP="34EBE9C9">
      <w:pPr>
        <w:pStyle w:val="Heading2"/>
        <w:rPr>
          <w:rStyle w:val="Strong"/>
          <w:b/>
        </w:rPr>
      </w:pPr>
      <w:bookmarkStart w:id="18" w:name="_Toc235521251"/>
      <w:r w:rsidRPr="34EBE9C9">
        <w:rPr>
          <w:rStyle w:val="Strong"/>
          <w:b/>
        </w:rPr>
        <w:t>Applying for a Cultural Development Fund grant</w:t>
      </w:r>
      <w:bookmarkEnd w:id="16"/>
      <w:bookmarkEnd w:id="18"/>
    </w:p>
    <w:p w14:paraId="1B49147E" w14:textId="44678561" w:rsidR="00453C26" w:rsidRDefault="54650D2C" w:rsidP="00BB71C8">
      <w:pPr>
        <w:pStyle w:val="Heading3"/>
      </w:pPr>
      <w:bookmarkStart w:id="19" w:name="_Eligibility"/>
      <w:bookmarkStart w:id="20" w:name="_Toc235521252"/>
      <w:bookmarkEnd w:id="19"/>
      <w:r>
        <w:t>Eligibility</w:t>
      </w:r>
      <w:bookmarkEnd w:id="20"/>
    </w:p>
    <w:p w14:paraId="1CE7B6DB" w14:textId="5C9009FD" w:rsidR="00F2664D" w:rsidRDefault="00F2664D" w:rsidP="00F2664D">
      <w:r>
        <w:t xml:space="preserve">To be eligible for </w:t>
      </w:r>
      <w:r w:rsidR="00C96552">
        <w:t>Cultural Development Fund: Festivals and Events Grants</w:t>
      </w:r>
      <w:r>
        <w:t xml:space="preserve"> funding applicants must:</w:t>
      </w:r>
    </w:p>
    <w:p w14:paraId="005EA24A" w14:textId="3FC4455F" w:rsidR="00F2664D" w:rsidRPr="00F2664D" w:rsidRDefault="00982CF1" w:rsidP="00E00E1F">
      <w:pPr>
        <w:pStyle w:val="NormalBullets"/>
        <w:spacing w:line="288" w:lineRule="auto"/>
      </w:pPr>
      <w:r>
        <w:t>b</w:t>
      </w:r>
      <w:r w:rsidR="00F2664D" w:rsidRPr="00F2664D">
        <w:t xml:space="preserve">e a ‘Not-for-Profit’ </w:t>
      </w:r>
      <w:r w:rsidR="006B56ED">
        <w:t xml:space="preserve">arts, cultural or </w:t>
      </w:r>
      <w:r w:rsidR="00F2664D" w:rsidRPr="00F2664D">
        <w:t>community organisation</w:t>
      </w:r>
    </w:p>
    <w:p w14:paraId="4984A33C" w14:textId="6A0441EC" w:rsidR="00F2664D" w:rsidRDefault="00982CF1" w:rsidP="00E00E1F">
      <w:pPr>
        <w:pStyle w:val="NormalBullets"/>
        <w:spacing w:line="288" w:lineRule="auto"/>
      </w:pPr>
      <w:r>
        <w:t>b</w:t>
      </w:r>
      <w:r w:rsidR="00F2664D" w:rsidRPr="00F2664D">
        <w:t xml:space="preserve">e </w:t>
      </w:r>
      <w:r w:rsidR="00E4669F">
        <w:t>I</w:t>
      </w:r>
      <w:r w:rsidR="00F2664D" w:rsidRPr="00F2664D">
        <w:t xml:space="preserve">ncorporated or </w:t>
      </w:r>
      <w:r w:rsidR="00E4669F">
        <w:t>auspiced</w:t>
      </w:r>
      <w:r w:rsidR="00E4669F" w:rsidRPr="00F2664D">
        <w:t xml:space="preserve"> </w:t>
      </w:r>
      <w:r w:rsidR="00F2664D" w:rsidRPr="00F2664D">
        <w:t xml:space="preserve">by an Incorporated Association that is deemed to be non-profit, as classified by the Australian Taxation Office (section 103A(2) (c) of the </w:t>
      </w:r>
      <w:hyperlink r:id="rId15" w:history="1">
        <w:r w:rsidR="00F2664D" w:rsidRPr="009C4BB7">
          <w:rPr>
            <w:rStyle w:val="Hyperlink"/>
            <w:i/>
            <w:iCs/>
          </w:rPr>
          <w:t>Income Tax Assessment Act 1936</w:t>
        </w:r>
      </w:hyperlink>
      <w:r w:rsidR="00F2664D" w:rsidRPr="00F2664D">
        <w:t xml:space="preserve">) </w:t>
      </w:r>
    </w:p>
    <w:p w14:paraId="176225B5" w14:textId="3BE75E1B" w:rsidR="00541869" w:rsidRPr="00F2664D" w:rsidRDefault="00541869" w:rsidP="00541869">
      <w:pPr>
        <w:pStyle w:val="NormalBullets"/>
        <w:spacing w:line="288" w:lineRule="auto"/>
      </w:pPr>
      <w:r>
        <w:t>p</w:t>
      </w:r>
      <w:r w:rsidRPr="00F2664D">
        <w:t>rovide an ABN or an Auspice Organisation ABN</w:t>
      </w:r>
    </w:p>
    <w:p w14:paraId="0077110A" w14:textId="54BCF123" w:rsidR="00F2664D" w:rsidRPr="00F2664D" w:rsidRDefault="00982CF1" w:rsidP="00E00E1F">
      <w:pPr>
        <w:pStyle w:val="NormalBullets"/>
        <w:spacing w:line="288" w:lineRule="auto"/>
      </w:pPr>
      <w:r>
        <w:t>h</w:t>
      </w:r>
      <w:r w:rsidR="00F2664D" w:rsidRPr="00F2664D">
        <w:t xml:space="preserve">ave Public Liability Insurance </w:t>
      </w:r>
      <w:r w:rsidR="00E4669F" w:rsidRPr="00F2664D">
        <w:t xml:space="preserve">with a minimum of $20 </w:t>
      </w:r>
      <w:r w:rsidR="00E4669F">
        <w:t>m</w:t>
      </w:r>
      <w:r w:rsidR="00E4669F" w:rsidRPr="00F2664D">
        <w:t xml:space="preserve">illion </w:t>
      </w:r>
      <w:r w:rsidR="00F2664D" w:rsidRPr="00F2664D">
        <w:t xml:space="preserve">or an Auspice Organisation Public Liability Insurance </w:t>
      </w:r>
      <w:r w:rsidR="00E758FE">
        <w:t xml:space="preserve">with a minimum of $20 million </w:t>
      </w:r>
    </w:p>
    <w:p w14:paraId="72D55F22" w14:textId="24F6871E" w:rsidR="00F2664D" w:rsidRPr="00F2664D" w:rsidRDefault="00982CF1" w:rsidP="00E00E1F">
      <w:pPr>
        <w:pStyle w:val="NormalBullets"/>
        <w:spacing w:line="288" w:lineRule="auto"/>
      </w:pPr>
      <w:r>
        <w:t>h</w:t>
      </w:r>
      <w:r w:rsidR="00F2664D" w:rsidRPr="00F2664D">
        <w:t>ave complied with all terms and conditions including the submission of a satisfactory project status and acquittal reports for all previous City of Port Phillip Grants</w:t>
      </w:r>
    </w:p>
    <w:p w14:paraId="1D881BC3" w14:textId="51BADA5A" w:rsidR="00EB0978" w:rsidRPr="002E493A" w:rsidRDefault="00EB0978" w:rsidP="002E493A">
      <w:pPr>
        <w:pStyle w:val="NormalBullets"/>
      </w:pPr>
      <w:r>
        <w:t>Funded events must be based in the City of Port Phillip</w:t>
      </w:r>
    </w:p>
    <w:p w14:paraId="62F1CFF7" w14:textId="43CF5C87" w:rsidR="005B4465" w:rsidRPr="00C46B78" w:rsidRDefault="00E37619" w:rsidP="00E37619">
      <w:pPr>
        <w:pStyle w:val="NormalBullets"/>
      </w:pPr>
      <w:r w:rsidRPr="00C46B78">
        <w:t xml:space="preserve">Organisations with existing funding service agreements with the City of Port Phillip </w:t>
      </w:r>
      <w:r w:rsidR="00C831D8" w:rsidRPr="00C46B78">
        <w:t>must apply in partnership with at least one other entity such as a trader, cultural organisation, community group, artist, or group of artists.</w:t>
      </w:r>
    </w:p>
    <w:p w14:paraId="41BA23CF" w14:textId="22B594D4" w:rsidR="00453C26" w:rsidRDefault="54650D2C" w:rsidP="00BB71C8">
      <w:pPr>
        <w:pStyle w:val="Heading3"/>
      </w:pPr>
      <w:bookmarkStart w:id="21" w:name="_What_can_be"/>
      <w:bookmarkStart w:id="22" w:name="_Toc235521253"/>
      <w:bookmarkEnd w:id="21"/>
      <w:r>
        <w:t>What can be funded?</w:t>
      </w:r>
      <w:bookmarkEnd w:id="22"/>
    </w:p>
    <w:p w14:paraId="736CCF0B" w14:textId="688D3D91" w:rsidR="00F2664D" w:rsidRDefault="00F2664D" w:rsidP="00F2664D">
      <w:r>
        <w:t>The following will be considered for funding:</w:t>
      </w:r>
    </w:p>
    <w:p w14:paraId="5D44EAA4" w14:textId="77777777" w:rsidR="00EB0978" w:rsidRPr="00AC2226" w:rsidRDefault="00EB0978" w:rsidP="00EB0978">
      <w:pPr>
        <w:pStyle w:val="NormalBullets"/>
      </w:pPr>
      <w:r>
        <w:t xml:space="preserve">Vibrant festivals and </w:t>
      </w:r>
      <w:r w:rsidRPr="00AC2226">
        <w:t xml:space="preserve">events that engage </w:t>
      </w:r>
      <w:r>
        <w:t>community and/or which can show significant community benefit</w:t>
      </w:r>
      <w:r w:rsidRPr="00AC2226">
        <w:t xml:space="preserve"> in the City of Port Phillip</w:t>
      </w:r>
      <w:r>
        <w:t xml:space="preserve">.  </w:t>
      </w:r>
    </w:p>
    <w:p w14:paraId="37EA7590" w14:textId="394E1A77" w:rsidR="00EB0978" w:rsidRPr="00AC2226" w:rsidRDefault="009555EB" w:rsidP="00EB0978">
      <w:pPr>
        <w:pStyle w:val="NormalBullets"/>
      </w:pPr>
      <w:r>
        <w:t>D</w:t>
      </w:r>
      <w:r w:rsidR="00EB0978" w:rsidRPr="00AC2226">
        <w:t xml:space="preserve">ifferent modes of delivery including outdoor or indoor </w:t>
      </w:r>
      <w:r w:rsidR="00EB0978">
        <w:t>events or a combination of both.</w:t>
      </w:r>
    </w:p>
    <w:p w14:paraId="38ACE2F0" w14:textId="6D64D17F" w:rsidR="00EB0978" w:rsidRDefault="009555EB" w:rsidP="00EB0978">
      <w:pPr>
        <w:pStyle w:val="NormalBullets"/>
      </w:pPr>
      <w:r>
        <w:t>Live e</w:t>
      </w:r>
      <w:r w:rsidR="00EB0978" w:rsidRPr="00AC2226">
        <w:t xml:space="preserve">vents </w:t>
      </w:r>
      <w:r>
        <w:t xml:space="preserve">that </w:t>
      </w:r>
      <w:r w:rsidR="00EB0978" w:rsidRPr="00AC2226">
        <w:t>include some shared online content</w:t>
      </w:r>
      <w:r w:rsidR="00EB0978">
        <w:t>.</w:t>
      </w:r>
    </w:p>
    <w:p w14:paraId="5B8AF1EB" w14:textId="77777777" w:rsidR="00EB0978" w:rsidRPr="007A709D" w:rsidRDefault="00EB0978" w:rsidP="00EB0978">
      <w:r>
        <w:lastRenderedPageBreak/>
        <w:t>Please note that a</w:t>
      </w:r>
      <w:r w:rsidRPr="004B3F5A">
        <w:t>pplicants that have a financial relationship with the City of Port Phillip (</w:t>
      </w:r>
      <w:r>
        <w:t xml:space="preserve">for example </w:t>
      </w:r>
      <w:r w:rsidRPr="004B3F5A">
        <w:t>as employee, contractor or creditor) must declare this connection in the application. All informati</w:t>
      </w:r>
      <w:r>
        <w:t>on will be assessed accordingly.</w:t>
      </w:r>
    </w:p>
    <w:p w14:paraId="5A78B8FB" w14:textId="18DBC918" w:rsidR="00453C26" w:rsidRDefault="54650D2C" w:rsidP="00BB71C8">
      <w:pPr>
        <w:pStyle w:val="Heading3"/>
      </w:pPr>
      <w:bookmarkStart w:id="23" w:name="_What_can’t_be"/>
      <w:bookmarkStart w:id="24" w:name="_Toc235521254"/>
      <w:bookmarkEnd w:id="23"/>
      <w:r>
        <w:t>What can’t be funded (exclusions)?</w:t>
      </w:r>
      <w:bookmarkEnd w:id="24"/>
    </w:p>
    <w:p w14:paraId="40DBEBB6" w14:textId="77777777" w:rsidR="00EB0978" w:rsidRPr="00FD1259" w:rsidRDefault="00EB0978" w:rsidP="00EB0978">
      <w:pPr>
        <w:spacing w:after="120"/>
        <w:rPr>
          <w:szCs w:val="24"/>
        </w:rPr>
      </w:pPr>
      <w:r w:rsidRPr="00FD1259">
        <w:rPr>
          <w:szCs w:val="24"/>
        </w:rPr>
        <w:t xml:space="preserve">Funding </w:t>
      </w:r>
      <w:r>
        <w:rPr>
          <w:szCs w:val="24"/>
        </w:rPr>
        <w:t xml:space="preserve">in this round </w:t>
      </w:r>
      <w:r w:rsidRPr="00FD1259">
        <w:rPr>
          <w:szCs w:val="24"/>
        </w:rPr>
        <w:t>is not available for:</w:t>
      </w:r>
    </w:p>
    <w:p w14:paraId="4FEE8ADF" w14:textId="77777777" w:rsidR="00EB0978" w:rsidRDefault="00EB0978" w:rsidP="00EB0978">
      <w:pPr>
        <w:pStyle w:val="NormalBullets"/>
      </w:pPr>
      <w:r>
        <w:t>Events which require retrospective funding, such as events which have commenced or are completed.</w:t>
      </w:r>
    </w:p>
    <w:p w14:paraId="0D525A1E" w14:textId="77777777" w:rsidR="00EB0978" w:rsidRPr="00FD1259" w:rsidRDefault="00EB0978" w:rsidP="00EB0978">
      <w:pPr>
        <w:pStyle w:val="NormalBullets"/>
      </w:pPr>
      <w:r w:rsidRPr="002B0B06">
        <w:t>Full online only events (some online event components are allowed as part of a live event)</w:t>
      </w:r>
      <w:r>
        <w:t>.</w:t>
      </w:r>
    </w:p>
    <w:p w14:paraId="2B57E0DB" w14:textId="77777777" w:rsidR="00EB0978" w:rsidRDefault="00EB0978" w:rsidP="00EB0978">
      <w:pPr>
        <w:pStyle w:val="NormalBullets"/>
      </w:pPr>
      <w:r>
        <w:t>Capital works projects, such as infrastructure or purchase of plant and equipment.</w:t>
      </w:r>
    </w:p>
    <w:p w14:paraId="6559EEA0" w14:textId="77777777" w:rsidR="00EB0978" w:rsidRPr="00FD1259" w:rsidRDefault="00EB0978" w:rsidP="00EB0978">
      <w:pPr>
        <w:pStyle w:val="NormalBullets"/>
      </w:pPr>
      <w:r>
        <w:t>Events that are run as part of a competition or which awards prizes, primarily as a source of fundraising.</w:t>
      </w:r>
    </w:p>
    <w:p w14:paraId="46244B63" w14:textId="77777777" w:rsidR="00EB0978" w:rsidRPr="00FD1259" w:rsidRDefault="00EB0978" w:rsidP="00EB0978">
      <w:pPr>
        <w:pStyle w:val="NormalBullets"/>
      </w:pPr>
      <w:r>
        <w:t>Events that are a part of a formal course of study.</w:t>
      </w:r>
    </w:p>
    <w:p w14:paraId="763BE5E7" w14:textId="1E43FB82" w:rsidR="001A6926" w:rsidRPr="00C46B78" w:rsidRDefault="001A6926" w:rsidP="00866D41">
      <w:pPr>
        <w:pStyle w:val="NormalBullets"/>
      </w:pPr>
      <w:r w:rsidRPr="00C46B78">
        <w:t xml:space="preserve">Recipients of funding service agreements who do not apply in </w:t>
      </w:r>
      <w:r w:rsidR="00866D41" w:rsidRPr="00C46B78">
        <w:t>partnership with at least one other entity such as a trader, cultural organisation, community group, artist, or group of artists.</w:t>
      </w:r>
    </w:p>
    <w:p w14:paraId="3B13DEA8" w14:textId="0E6BE108" w:rsidR="00EB0978" w:rsidRPr="006567F2" w:rsidRDefault="009555EB" w:rsidP="00EB0978">
      <w:pPr>
        <w:pStyle w:val="NormalBullets"/>
        <w:spacing w:line="288" w:lineRule="auto"/>
      </w:pPr>
      <w:r>
        <w:t>P</w:t>
      </w:r>
      <w:r w:rsidR="00EB0978" w:rsidRPr="006567F2">
        <w:t xml:space="preserve">rojects that do not align with Council’s principles and values as identified in the </w:t>
      </w:r>
      <w:hyperlink r:id="rId16" w:history="1">
        <w:r w:rsidR="007E701E" w:rsidRPr="00585137">
          <w:rPr>
            <w:rStyle w:val="Hyperlink"/>
            <w:color w:val="00B0F0"/>
          </w:rPr>
          <w:t>Council Plan 2025-2035</w:t>
        </w:r>
      </w:hyperlink>
    </w:p>
    <w:p w14:paraId="6470D6BA" w14:textId="4468A268" w:rsidR="00EB0978" w:rsidRDefault="000B23E2" w:rsidP="00EB0978">
      <w:pPr>
        <w:spacing w:after="100" w:afterAutospacing="1"/>
      </w:pPr>
      <w:r>
        <w:t>Applicants are encouraged to discuss their idea with a Council Officer before applying.</w:t>
      </w:r>
    </w:p>
    <w:p w14:paraId="6E7BB7DA" w14:textId="5CA9F6C9" w:rsidR="00453C26" w:rsidRPr="00C46B78" w:rsidRDefault="54650D2C" w:rsidP="3028F046">
      <w:pPr>
        <w:pStyle w:val="Heading3"/>
      </w:pPr>
      <w:bookmarkStart w:id="25" w:name="_Toc235521255"/>
      <w:r>
        <w:t xml:space="preserve">Assessment </w:t>
      </w:r>
      <w:r w:rsidR="0DC6B42E">
        <w:t>p</w:t>
      </w:r>
      <w:r>
        <w:t>rocess</w:t>
      </w:r>
      <w:bookmarkEnd w:id="25"/>
    </w:p>
    <w:p w14:paraId="192FDADA" w14:textId="77777777" w:rsidR="00F2664D" w:rsidRPr="00763873" w:rsidRDefault="00F2664D" w:rsidP="00F2664D">
      <w:r w:rsidRPr="00763873">
        <w:t>After you have submitted your grant application:</w:t>
      </w:r>
    </w:p>
    <w:p w14:paraId="16A03400" w14:textId="5FF1B629" w:rsidR="003241FE" w:rsidRPr="00763873" w:rsidRDefault="00A41460" w:rsidP="3028F046">
      <w:pPr>
        <w:pStyle w:val="NormalBullets"/>
        <w:spacing w:line="288" w:lineRule="auto"/>
      </w:pPr>
      <w:bookmarkStart w:id="26" w:name="_Hlk158201682"/>
      <w:r>
        <w:t>Council officers conduct a</w:t>
      </w:r>
      <w:r w:rsidR="00F2664D">
        <w:t>n eligibility check</w:t>
      </w:r>
      <w:r w:rsidR="00822C0F">
        <w:t>,</w:t>
      </w:r>
      <w:r w:rsidR="00F2664D">
        <w:t xml:space="preserve"> including initial assessment. Applicants that do not meet eligibility criteria will not continue for further assessment and applicants </w:t>
      </w:r>
      <w:r w:rsidR="00671503">
        <w:t xml:space="preserve">will be </w:t>
      </w:r>
      <w:r w:rsidR="00F2664D">
        <w:t>notified by email</w:t>
      </w:r>
      <w:bookmarkEnd w:id="26"/>
      <w:r w:rsidR="00653F2C">
        <w:t>.</w:t>
      </w:r>
    </w:p>
    <w:p w14:paraId="351D37BF" w14:textId="014D76B6" w:rsidR="003241FE" w:rsidRPr="0019080D" w:rsidRDefault="00497282" w:rsidP="3028F046">
      <w:pPr>
        <w:pStyle w:val="NormalBullets"/>
        <w:spacing w:line="288" w:lineRule="auto"/>
      </w:pPr>
      <w:r w:rsidRPr="0019080D">
        <w:t>Your application will be assessed</w:t>
      </w:r>
      <w:r w:rsidR="6B1966F6" w:rsidRPr="0019080D">
        <w:t xml:space="preserve"> by a Council assessment panel consisting of </w:t>
      </w:r>
      <w:r w:rsidR="009E17CF">
        <w:t xml:space="preserve">up to </w:t>
      </w:r>
      <w:r w:rsidR="005775D7">
        <w:t>five</w:t>
      </w:r>
      <w:r w:rsidR="00E46A1B" w:rsidRPr="0019080D">
        <w:t xml:space="preserve"> Council</w:t>
      </w:r>
      <w:r w:rsidR="003241FE" w:rsidRPr="0019080D">
        <w:t xml:space="preserve"> </w:t>
      </w:r>
      <w:r w:rsidR="00E46A1B" w:rsidRPr="0019080D">
        <w:t>O</w:t>
      </w:r>
      <w:r w:rsidR="003241FE" w:rsidRPr="0019080D">
        <w:t xml:space="preserve">fficers </w:t>
      </w:r>
      <w:r w:rsidR="00B536C3" w:rsidRPr="0019080D">
        <w:t>with relevant expertise</w:t>
      </w:r>
      <w:r w:rsidR="003241FE" w:rsidRPr="0019080D">
        <w:t xml:space="preserve"> across related portfolios and </w:t>
      </w:r>
      <w:r w:rsidRPr="0019080D">
        <w:t>is approved by the relevant Manager and appointed on an annual basis.</w:t>
      </w:r>
      <w:r w:rsidR="2950308C" w:rsidRPr="0019080D">
        <w:t xml:space="preserve"> </w:t>
      </w:r>
    </w:p>
    <w:p w14:paraId="19615867" w14:textId="54852CC1" w:rsidR="00F2664D" w:rsidRPr="0019080D" w:rsidRDefault="003241FE" w:rsidP="3028F046">
      <w:pPr>
        <w:pStyle w:val="NormalBullets"/>
        <w:spacing w:line="288" w:lineRule="auto"/>
      </w:pPr>
      <w:bookmarkStart w:id="27" w:name="_Hlk158201875"/>
      <w:r w:rsidRPr="0019080D">
        <w:t>All r</w:t>
      </w:r>
      <w:r w:rsidR="00F2664D" w:rsidRPr="0019080D">
        <w:t xml:space="preserve">ecommendations are presented to Council and applicants are notified </w:t>
      </w:r>
      <w:r w:rsidR="00DD567C" w:rsidRPr="0019080D">
        <w:t>of the ou</w:t>
      </w:r>
      <w:r w:rsidR="7FCF0AF3" w:rsidRPr="0019080D">
        <w:t>tc</w:t>
      </w:r>
      <w:r w:rsidR="00DD567C" w:rsidRPr="0019080D">
        <w:t xml:space="preserve">ome </w:t>
      </w:r>
      <w:r w:rsidR="00F2664D" w:rsidRPr="0019080D">
        <w:t>by email</w:t>
      </w:r>
      <w:bookmarkEnd w:id="27"/>
      <w:r w:rsidR="00DD567C" w:rsidRPr="0019080D">
        <w:t>.</w:t>
      </w:r>
      <w:r w:rsidRPr="0019080D">
        <w:t xml:space="preserve"> It is noted that applications recommended by the Internal Panel can be presented directly to Council </w:t>
      </w:r>
      <w:r w:rsidR="2C70FEE9" w:rsidRPr="0019080D">
        <w:t>should</w:t>
      </w:r>
      <w:r w:rsidRPr="0019080D">
        <w:t xml:space="preserve"> opportunities arise.</w:t>
      </w:r>
    </w:p>
    <w:p w14:paraId="46891E44" w14:textId="59DC3DFE" w:rsidR="00F2664D" w:rsidRDefault="00F2664D" w:rsidP="00E00E1F">
      <w:pPr>
        <w:pStyle w:val="NormalBullets"/>
        <w:spacing w:line="288" w:lineRule="auto"/>
      </w:pPr>
      <w:bookmarkStart w:id="28" w:name="_Hlk158201938"/>
      <w:r w:rsidRPr="00763873">
        <w:t xml:space="preserve">Recipients will be listed on the Council’s website and may be published in </w:t>
      </w:r>
      <w:r>
        <w:t>Council’s</w:t>
      </w:r>
      <w:r w:rsidRPr="00763873">
        <w:t xml:space="preserve"> Annual Report</w:t>
      </w:r>
      <w:r w:rsidR="00913A57">
        <w:t>.</w:t>
      </w:r>
    </w:p>
    <w:p w14:paraId="5D20A240" w14:textId="25BF6DE5" w:rsidR="000D584C" w:rsidRPr="00585137" w:rsidRDefault="000D584C" w:rsidP="00E00E1F">
      <w:pPr>
        <w:pStyle w:val="NormalBullets"/>
        <w:spacing w:line="288" w:lineRule="auto"/>
        <w:rPr>
          <w:color w:val="00B0F0"/>
        </w:rPr>
      </w:pPr>
      <w:r w:rsidRPr="00A40843">
        <w:t xml:space="preserve">For applicants eligible for multi-year funding, the assessment panel may also consider previous delivery history, event outcomes, organisational capacity, </w:t>
      </w:r>
      <w:r w:rsidRPr="00A40843">
        <w:lastRenderedPageBreak/>
        <w:t>financial management and long-term alignment with Council priorities when determining whether a recommendation should be made for more than one year of funding.</w:t>
      </w:r>
    </w:p>
    <w:p w14:paraId="413E9FE6" w14:textId="15615D62" w:rsidR="00453C26" w:rsidRDefault="54650D2C" w:rsidP="00BB71C8">
      <w:pPr>
        <w:pStyle w:val="Heading3"/>
      </w:pPr>
      <w:bookmarkStart w:id="29" w:name="_Assessment_cCriteria"/>
      <w:bookmarkStart w:id="30" w:name="_Toc235521256"/>
      <w:bookmarkEnd w:id="28"/>
      <w:bookmarkEnd w:id="29"/>
      <w:r>
        <w:t xml:space="preserve">Assessment </w:t>
      </w:r>
      <w:r w:rsidR="0DC6B42E">
        <w:t>c</w:t>
      </w:r>
      <w:r>
        <w:t>riteria</w:t>
      </w:r>
      <w:bookmarkEnd w:id="30"/>
    </w:p>
    <w:p w14:paraId="58F56497" w14:textId="03D4D688" w:rsidR="006D53AC" w:rsidRPr="00A41040" w:rsidRDefault="00C96552" w:rsidP="00A41040">
      <w:r>
        <w:t>Cultural Development Fund: Festivals and Events Grants</w:t>
      </w:r>
      <w:r w:rsidR="00F2664D" w:rsidRPr="000D3480">
        <w:t xml:space="preserve"> </w:t>
      </w:r>
      <w:r w:rsidR="00EF31AF">
        <w:t>a</w:t>
      </w:r>
      <w:r w:rsidR="00F2664D" w:rsidRPr="000D3480">
        <w:t xml:space="preserve">ssessment </w:t>
      </w:r>
      <w:r w:rsidR="00EF31AF">
        <w:t>p</w:t>
      </w:r>
      <w:r w:rsidR="00F2664D" w:rsidRPr="000D3480">
        <w:t xml:space="preserve">anel will assess all </w:t>
      </w:r>
      <w:r w:rsidR="001E3FE8">
        <w:t xml:space="preserve">eligible </w:t>
      </w:r>
      <w:r w:rsidR="00F2664D" w:rsidRPr="000D3480">
        <w:t>applications against the following assessment criteria:</w:t>
      </w:r>
    </w:p>
    <w:tbl>
      <w:tblPr>
        <w:tblStyle w:val="TableGrid"/>
        <w:tblW w:w="0" w:type="auto"/>
        <w:tblLook w:val="04A0" w:firstRow="1" w:lastRow="0" w:firstColumn="1" w:lastColumn="0" w:noHBand="0" w:noVBand="1"/>
      </w:tblPr>
      <w:tblGrid>
        <w:gridCol w:w="8075"/>
        <w:gridCol w:w="1553"/>
      </w:tblGrid>
      <w:tr w:rsidR="006D53AC" w14:paraId="2DAB486C" w14:textId="79762544" w:rsidTr="3028F046">
        <w:tc>
          <w:tcPr>
            <w:tcW w:w="8075" w:type="dxa"/>
            <w:shd w:val="clear" w:color="auto" w:fill="D9E2F3" w:themeFill="accent5" w:themeFillTint="33"/>
          </w:tcPr>
          <w:p w14:paraId="28D49A40" w14:textId="0909286F" w:rsidR="006D53AC" w:rsidRDefault="00070BD9" w:rsidP="001E1BC6">
            <w:pPr>
              <w:pStyle w:val="BodyBold"/>
              <w:jc w:val="center"/>
            </w:pPr>
            <w:bookmarkStart w:id="31" w:name="_Toc76044697"/>
            <w:r>
              <w:t xml:space="preserve">Assessment </w:t>
            </w:r>
            <w:r w:rsidR="0036618D">
              <w:t>Criteria</w:t>
            </w:r>
          </w:p>
        </w:tc>
        <w:tc>
          <w:tcPr>
            <w:tcW w:w="1553" w:type="dxa"/>
            <w:shd w:val="clear" w:color="auto" w:fill="D9E2F3" w:themeFill="accent5" w:themeFillTint="33"/>
          </w:tcPr>
          <w:p w14:paraId="7F2E48C9" w14:textId="2198AEC9" w:rsidR="006D53AC" w:rsidRDefault="0036618D" w:rsidP="001E1BC6">
            <w:pPr>
              <w:pStyle w:val="BodyBold"/>
              <w:jc w:val="center"/>
            </w:pPr>
            <w:r>
              <w:t>Weighting</w:t>
            </w:r>
          </w:p>
        </w:tc>
      </w:tr>
      <w:tr w:rsidR="00A40843" w:rsidRPr="00A40843" w14:paraId="0D3094DA" w14:textId="554B4A96" w:rsidTr="3028F046">
        <w:tc>
          <w:tcPr>
            <w:tcW w:w="8075" w:type="dxa"/>
            <w:shd w:val="clear" w:color="auto" w:fill="D9E2F3" w:themeFill="accent5" w:themeFillTint="33"/>
            <w:vAlign w:val="center"/>
          </w:tcPr>
          <w:p w14:paraId="59BBC7FA" w14:textId="77777777" w:rsidR="00F850FB" w:rsidRPr="00A40843" w:rsidRDefault="00F850FB" w:rsidP="00F850FB">
            <w:pPr>
              <w:spacing w:line="300" w:lineRule="atLeast"/>
              <w:rPr>
                <w:b/>
                <w:bCs/>
                <w:color w:val="auto"/>
              </w:rPr>
            </w:pPr>
            <w:r w:rsidRPr="00A40843">
              <w:rPr>
                <w:b/>
                <w:bCs/>
                <w:color w:val="auto"/>
              </w:rPr>
              <w:t>Support festivals and events that activate places, attract audiences and contribute to local economic activity.</w:t>
            </w:r>
          </w:p>
          <w:p w14:paraId="2774009A" w14:textId="77777777" w:rsidR="00F850FB" w:rsidRPr="00A40843" w:rsidRDefault="00F850FB" w:rsidP="00F850FB">
            <w:pPr>
              <w:spacing w:line="300" w:lineRule="atLeast"/>
              <w:rPr>
                <w:b/>
                <w:bCs/>
                <w:color w:val="auto"/>
              </w:rPr>
            </w:pPr>
          </w:p>
          <w:p w14:paraId="65D3FF3B" w14:textId="52B57AC6" w:rsidR="00F850FB" w:rsidRPr="00A40843" w:rsidRDefault="00F850FB" w:rsidP="00F850FB">
            <w:pPr>
              <w:spacing w:line="300" w:lineRule="atLeast"/>
              <w:rPr>
                <w:b/>
                <w:bCs/>
                <w:color w:val="auto"/>
              </w:rPr>
            </w:pPr>
            <w:r w:rsidRPr="00A40843">
              <w:rPr>
                <w:b/>
                <w:bCs/>
                <w:color w:val="auto"/>
              </w:rPr>
              <w:t>What does this look like?</w:t>
            </w:r>
          </w:p>
          <w:p w14:paraId="66E7FB9A" w14:textId="77777777" w:rsidR="00766C62" w:rsidRPr="00A40843" w:rsidRDefault="00766C62" w:rsidP="00766C62">
            <w:pPr>
              <w:numPr>
                <w:ilvl w:val="0"/>
                <w:numId w:val="17"/>
              </w:numPr>
              <w:spacing w:line="240" w:lineRule="auto"/>
              <w:textAlignment w:val="baseline"/>
              <w:rPr>
                <w:color w:val="auto"/>
                <w:lang w:eastAsia="en-AU"/>
              </w:rPr>
            </w:pPr>
            <w:r w:rsidRPr="00A40843">
              <w:rPr>
                <w:color w:val="auto"/>
                <w:lang w:eastAsia="en-AU"/>
              </w:rPr>
              <w:t>attracts visitors and audiences to Port Phillip</w:t>
            </w:r>
          </w:p>
          <w:p w14:paraId="6CAC41DF" w14:textId="77777777" w:rsidR="00766C62" w:rsidRPr="00A40843" w:rsidRDefault="00766C62" w:rsidP="00766C62">
            <w:pPr>
              <w:numPr>
                <w:ilvl w:val="0"/>
                <w:numId w:val="17"/>
              </w:numPr>
              <w:spacing w:line="240" w:lineRule="auto"/>
              <w:textAlignment w:val="baseline"/>
              <w:rPr>
                <w:color w:val="auto"/>
                <w:lang w:eastAsia="en-AU"/>
              </w:rPr>
            </w:pPr>
            <w:r w:rsidRPr="00A40843">
              <w:rPr>
                <w:color w:val="auto"/>
                <w:lang w:eastAsia="en-AU"/>
              </w:rPr>
              <w:t>provides economic benefit for local businesses and precincts</w:t>
            </w:r>
          </w:p>
          <w:p w14:paraId="2767FCAD" w14:textId="77777777" w:rsidR="00766C62" w:rsidRPr="00A40843" w:rsidRDefault="00766C62" w:rsidP="00766C62">
            <w:pPr>
              <w:numPr>
                <w:ilvl w:val="0"/>
                <w:numId w:val="17"/>
              </w:numPr>
              <w:spacing w:line="240" w:lineRule="auto"/>
              <w:textAlignment w:val="baseline"/>
              <w:rPr>
                <w:color w:val="auto"/>
                <w:lang w:eastAsia="en-AU"/>
              </w:rPr>
            </w:pPr>
            <w:r w:rsidRPr="00A40843">
              <w:rPr>
                <w:color w:val="auto"/>
                <w:lang w:eastAsia="en-AU"/>
              </w:rPr>
              <w:t>raises the profile of Port Phillip as a destination</w:t>
            </w:r>
          </w:p>
          <w:p w14:paraId="5B554BA4" w14:textId="77777777" w:rsidR="00766C62" w:rsidRPr="00A40843" w:rsidRDefault="00766C62" w:rsidP="00766C62">
            <w:pPr>
              <w:numPr>
                <w:ilvl w:val="0"/>
                <w:numId w:val="17"/>
              </w:numPr>
              <w:spacing w:line="240" w:lineRule="auto"/>
              <w:textAlignment w:val="baseline"/>
              <w:rPr>
                <w:color w:val="auto"/>
                <w:lang w:eastAsia="en-AU"/>
              </w:rPr>
            </w:pPr>
            <w:r w:rsidRPr="00A40843">
              <w:rPr>
                <w:color w:val="auto"/>
                <w:lang w:eastAsia="en-AU"/>
              </w:rPr>
              <w:t>activates neighbourhoods, public spaces or local venues</w:t>
            </w:r>
          </w:p>
          <w:p w14:paraId="1F062563" w14:textId="7243C7C3" w:rsidR="009555EB" w:rsidRPr="00A40843" w:rsidRDefault="00766C62" w:rsidP="00766C62">
            <w:pPr>
              <w:numPr>
                <w:ilvl w:val="0"/>
                <w:numId w:val="17"/>
              </w:numPr>
              <w:spacing w:line="240" w:lineRule="auto"/>
              <w:textAlignment w:val="baseline"/>
              <w:rPr>
                <w:rFonts w:ascii="Calibri" w:hAnsi="Calibri" w:cs="Calibri"/>
                <w:color w:val="auto"/>
                <w:sz w:val="22"/>
                <w:lang w:eastAsia="en-AU"/>
              </w:rPr>
            </w:pPr>
            <w:r w:rsidRPr="00A40843">
              <w:rPr>
                <w:color w:val="auto"/>
                <w:lang w:eastAsia="en-AU"/>
              </w:rPr>
              <w:t>contributes to a vibrant local economy</w:t>
            </w:r>
          </w:p>
        </w:tc>
        <w:tc>
          <w:tcPr>
            <w:tcW w:w="1553" w:type="dxa"/>
            <w:shd w:val="clear" w:color="auto" w:fill="D9E2F3" w:themeFill="accent5" w:themeFillTint="33"/>
            <w:vAlign w:val="center"/>
          </w:tcPr>
          <w:p w14:paraId="3AB5B097" w14:textId="6D14E5A2" w:rsidR="0036618D" w:rsidRPr="00A40843" w:rsidRDefault="00766C62" w:rsidP="003C4C2D">
            <w:pPr>
              <w:pStyle w:val="BodyBold"/>
              <w:jc w:val="center"/>
              <w:rPr>
                <w:color w:val="auto"/>
              </w:rPr>
            </w:pPr>
            <w:r w:rsidRPr="00A40843">
              <w:rPr>
                <w:color w:val="auto"/>
              </w:rPr>
              <w:t>2</w:t>
            </w:r>
            <w:r w:rsidR="00BD4061" w:rsidRPr="00A40843">
              <w:rPr>
                <w:color w:val="auto"/>
              </w:rPr>
              <w:t>0</w:t>
            </w:r>
            <w:r w:rsidR="00EE1BD8" w:rsidRPr="00A40843">
              <w:rPr>
                <w:color w:val="auto"/>
              </w:rPr>
              <w:t>%</w:t>
            </w:r>
          </w:p>
          <w:p w14:paraId="49D50BC0" w14:textId="5587C988" w:rsidR="006D53AC" w:rsidRPr="00A40843" w:rsidRDefault="006D53AC" w:rsidP="003C4C2D">
            <w:pPr>
              <w:pStyle w:val="BodyBold"/>
              <w:jc w:val="center"/>
              <w:rPr>
                <w:color w:val="auto"/>
              </w:rPr>
            </w:pPr>
          </w:p>
        </w:tc>
      </w:tr>
      <w:tr w:rsidR="00A40843" w:rsidRPr="00A40843" w14:paraId="31BA9231" w14:textId="0BD12109" w:rsidTr="3028F046">
        <w:tc>
          <w:tcPr>
            <w:tcW w:w="8075" w:type="dxa"/>
            <w:shd w:val="clear" w:color="auto" w:fill="D9E2F3" w:themeFill="accent5" w:themeFillTint="33"/>
          </w:tcPr>
          <w:p w14:paraId="54AD963C" w14:textId="77777777" w:rsidR="000A07DE" w:rsidRPr="00A40843" w:rsidRDefault="000A07DE" w:rsidP="000A07DE">
            <w:pPr>
              <w:spacing w:line="300" w:lineRule="atLeast"/>
              <w:rPr>
                <w:b/>
                <w:bCs/>
                <w:color w:val="auto"/>
              </w:rPr>
            </w:pPr>
            <w:r w:rsidRPr="00A40843">
              <w:rPr>
                <w:b/>
                <w:bCs/>
                <w:color w:val="auto"/>
              </w:rPr>
              <w:t>Support vibrant festivals and events that contribute to the cultural life, identity and creative profile of Port Phillip.</w:t>
            </w:r>
          </w:p>
          <w:p w14:paraId="08328011" w14:textId="77777777" w:rsidR="000A07DE" w:rsidRPr="00A40843" w:rsidRDefault="000A07DE" w:rsidP="000A07DE">
            <w:pPr>
              <w:spacing w:line="300" w:lineRule="atLeast"/>
              <w:rPr>
                <w:b/>
                <w:bCs/>
                <w:color w:val="auto"/>
              </w:rPr>
            </w:pPr>
          </w:p>
          <w:p w14:paraId="69C8EB81" w14:textId="16C8837B" w:rsidR="000A07DE" w:rsidRPr="00A40843" w:rsidRDefault="000A07DE" w:rsidP="000A07DE">
            <w:pPr>
              <w:spacing w:line="300" w:lineRule="atLeast"/>
              <w:rPr>
                <w:b/>
                <w:bCs/>
                <w:color w:val="auto"/>
              </w:rPr>
            </w:pPr>
            <w:r w:rsidRPr="00A40843">
              <w:rPr>
                <w:b/>
                <w:bCs/>
                <w:color w:val="auto"/>
              </w:rPr>
              <w:t>What does this look like?</w:t>
            </w:r>
          </w:p>
          <w:p w14:paraId="6D902AB0" w14:textId="77777777" w:rsidR="00B37091" w:rsidRPr="00A40843" w:rsidRDefault="00B37091" w:rsidP="00B37091">
            <w:pPr>
              <w:numPr>
                <w:ilvl w:val="0"/>
                <w:numId w:val="17"/>
              </w:numPr>
              <w:spacing w:line="240" w:lineRule="auto"/>
              <w:textAlignment w:val="baseline"/>
              <w:rPr>
                <w:color w:val="auto"/>
                <w:lang w:eastAsia="en-AU"/>
              </w:rPr>
            </w:pPr>
            <w:r w:rsidRPr="00A40843">
              <w:rPr>
                <w:color w:val="auto"/>
                <w:lang w:eastAsia="en-AU"/>
              </w:rPr>
              <w:t>presents high-quality cultural, artistic or community experiences</w:t>
            </w:r>
          </w:p>
          <w:p w14:paraId="4EC280DF" w14:textId="77777777" w:rsidR="00B37091" w:rsidRPr="00A40843" w:rsidRDefault="00B37091" w:rsidP="00B37091">
            <w:pPr>
              <w:numPr>
                <w:ilvl w:val="0"/>
                <w:numId w:val="17"/>
              </w:numPr>
              <w:spacing w:line="240" w:lineRule="auto"/>
              <w:textAlignment w:val="baseline"/>
              <w:rPr>
                <w:color w:val="auto"/>
                <w:lang w:eastAsia="en-AU"/>
              </w:rPr>
            </w:pPr>
            <w:r w:rsidRPr="00A40843">
              <w:rPr>
                <w:color w:val="auto"/>
                <w:lang w:eastAsia="en-AU"/>
              </w:rPr>
              <w:t>demonstrates creativity, innovation or unique programming</w:t>
            </w:r>
          </w:p>
          <w:p w14:paraId="16D6CA40" w14:textId="77777777" w:rsidR="00B37091" w:rsidRPr="00A40843" w:rsidRDefault="00B37091" w:rsidP="00B37091">
            <w:pPr>
              <w:numPr>
                <w:ilvl w:val="0"/>
                <w:numId w:val="17"/>
              </w:numPr>
              <w:spacing w:line="240" w:lineRule="auto"/>
              <w:textAlignment w:val="baseline"/>
              <w:rPr>
                <w:color w:val="auto"/>
                <w:lang w:eastAsia="en-AU"/>
              </w:rPr>
            </w:pPr>
            <w:r w:rsidRPr="00A40843">
              <w:rPr>
                <w:color w:val="auto"/>
                <w:lang w:eastAsia="en-AU"/>
              </w:rPr>
              <w:t>contributes to the identity, character and cultural life of Port Phillip</w:t>
            </w:r>
          </w:p>
          <w:p w14:paraId="4919A78E" w14:textId="77777777" w:rsidR="00B37091" w:rsidRPr="00A40843" w:rsidRDefault="00B37091" w:rsidP="00B37091">
            <w:pPr>
              <w:numPr>
                <w:ilvl w:val="0"/>
                <w:numId w:val="17"/>
              </w:numPr>
              <w:spacing w:line="240" w:lineRule="auto"/>
              <w:textAlignment w:val="baseline"/>
              <w:rPr>
                <w:color w:val="auto"/>
                <w:lang w:eastAsia="en-AU"/>
              </w:rPr>
            </w:pPr>
            <w:r w:rsidRPr="00A40843">
              <w:rPr>
                <w:color w:val="auto"/>
                <w:lang w:eastAsia="en-AU"/>
              </w:rPr>
              <w:t>celebrates local stories, communities, arts and culture</w:t>
            </w:r>
          </w:p>
          <w:p w14:paraId="1BCB2958" w14:textId="783DD62A" w:rsidR="00BB71C8" w:rsidRPr="00A40843" w:rsidRDefault="00B37091" w:rsidP="00B37091">
            <w:pPr>
              <w:numPr>
                <w:ilvl w:val="0"/>
                <w:numId w:val="17"/>
              </w:numPr>
              <w:spacing w:line="240" w:lineRule="auto"/>
              <w:textAlignment w:val="baseline"/>
              <w:rPr>
                <w:rFonts w:ascii="Calibri" w:hAnsi="Calibri" w:cs="Calibri"/>
                <w:color w:val="auto"/>
                <w:sz w:val="22"/>
                <w:lang w:eastAsia="en-AU"/>
              </w:rPr>
            </w:pPr>
            <w:r w:rsidRPr="00A40843">
              <w:rPr>
                <w:color w:val="auto"/>
                <w:lang w:eastAsia="en-AU"/>
              </w:rPr>
              <w:t>where relevant, involves meaningful First Peoples leadership or participation</w:t>
            </w:r>
          </w:p>
        </w:tc>
        <w:tc>
          <w:tcPr>
            <w:tcW w:w="1553" w:type="dxa"/>
            <w:shd w:val="clear" w:color="auto" w:fill="D9E2F3" w:themeFill="accent5" w:themeFillTint="33"/>
            <w:vAlign w:val="center"/>
          </w:tcPr>
          <w:p w14:paraId="5BFDC6A5" w14:textId="032B75C3" w:rsidR="006D53AC" w:rsidRPr="00A40843" w:rsidRDefault="00BD4061" w:rsidP="003C4C2D">
            <w:pPr>
              <w:pStyle w:val="BodyBold"/>
              <w:jc w:val="center"/>
              <w:rPr>
                <w:color w:val="auto"/>
              </w:rPr>
            </w:pPr>
            <w:r w:rsidRPr="00A40843">
              <w:rPr>
                <w:color w:val="auto"/>
              </w:rPr>
              <w:t>20</w:t>
            </w:r>
            <w:r w:rsidR="006806CC" w:rsidRPr="00A40843">
              <w:rPr>
                <w:color w:val="auto"/>
              </w:rPr>
              <w:t xml:space="preserve"> </w:t>
            </w:r>
            <w:r w:rsidR="00EE1BD8" w:rsidRPr="00A40843">
              <w:rPr>
                <w:color w:val="auto"/>
              </w:rPr>
              <w:t>%</w:t>
            </w:r>
          </w:p>
        </w:tc>
      </w:tr>
      <w:tr w:rsidR="00A40843" w:rsidRPr="00A40843" w14:paraId="2E56A0EA" w14:textId="73F91A89" w:rsidTr="3028F046">
        <w:tc>
          <w:tcPr>
            <w:tcW w:w="8075" w:type="dxa"/>
            <w:shd w:val="clear" w:color="auto" w:fill="D9E2F3" w:themeFill="accent5" w:themeFillTint="33"/>
          </w:tcPr>
          <w:p w14:paraId="05210A2C" w14:textId="77777777" w:rsidR="00D41ABC" w:rsidRPr="00A40843" w:rsidRDefault="00D41ABC" w:rsidP="00D41ABC">
            <w:pPr>
              <w:spacing w:line="300" w:lineRule="atLeast"/>
              <w:rPr>
                <w:b/>
                <w:bCs/>
                <w:color w:val="auto"/>
              </w:rPr>
            </w:pPr>
            <w:r w:rsidRPr="00A40843">
              <w:rPr>
                <w:b/>
                <w:bCs/>
                <w:color w:val="auto"/>
              </w:rPr>
              <w:t>Support participation, inclusion and community connection through festivals and events.</w:t>
            </w:r>
          </w:p>
          <w:p w14:paraId="329526AD" w14:textId="77777777" w:rsidR="00D41ABC" w:rsidRPr="00A40843" w:rsidRDefault="00D41ABC" w:rsidP="00D41ABC">
            <w:pPr>
              <w:spacing w:line="300" w:lineRule="atLeast"/>
              <w:rPr>
                <w:b/>
                <w:bCs/>
                <w:color w:val="auto"/>
              </w:rPr>
            </w:pPr>
          </w:p>
          <w:p w14:paraId="50479D4E" w14:textId="77777777" w:rsidR="00D41ABC" w:rsidRPr="00A40843" w:rsidRDefault="00D41ABC" w:rsidP="00D41ABC">
            <w:pPr>
              <w:spacing w:line="300" w:lineRule="atLeast"/>
              <w:rPr>
                <w:b/>
                <w:bCs/>
                <w:color w:val="auto"/>
              </w:rPr>
            </w:pPr>
            <w:r w:rsidRPr="00A40843">
              <w:rPr>
                <w:b/>
                <w:bCs/>
                <w:color w:val="auto"/>
              </w:rPr>
              <w:t>What does this look like?</w:t>
            </w:r>
          </w:p>
          <w:p w14:paraId="417DFF8E" w14:textId="77777777" w:rsidR="009E7A48" w:rsidRPr="00A40843" w:rsidRDefault="009E7A48" w:rsidP="009E7A48">
            <w:pPr>
              <w:numPr>
                <w:ilvl w:val="0"/>
                <w:numId w:val="17"/>
              </w:numPr>
              <w:spacing w:line="240" w:lineRule="auto"/>
              <w:textAlignment w:val="baseline"/>
              <w:rPr>
                <w:color w:val="auto"/>
                <w:lang w:eastAsia="en-AU"/>
              </w:rPr>
            </w:pPr>
            <w:r w:rsidRPr="00A40843">
              <w:rPr>
                <w:color w:val="auto"/>
                <w:lang w:eastAsia="en-AU"/>
              </w:rPr>
              <w:t>creates opportunities for diverse communities to participate, contribute and attend</w:t>
            </w:r>
          </w:p>
          <w:p w14:paraId="19C1D1D8" w14:textId="77777777" w:rsidR="009E7A48" w:rsidRPr="00A40843" w:rsidRDefault="009E7A48" w:rsidP="009E7A48">
            <w:pPr>
              <w:numPr>
                <w:ilvl w:val="0"/>
                <w:numId w:val="17"/>
              </w:numPr>
              <w:spacing w:line="240" w:lineRule="auto"/>
              <w:textAlignment w:val="baseline"/>
              <w:rPr>
                <w:color w:val="auto"/>
                <w:lang w:eastAsia="en-AU"/>
              </w:rPr>
            </w:pPr>
            <w:r w:rsidRPr="00A40843">
              <w:rPr>
                <w:color w:val="auto"/>
                <w:lang w:eastAsia="en-AU"/>
              </w:rPr>
              <w:t>promotes access, participation, representation and belonging</w:t>
            </w:r>
          </w:p>
          <w:p w14:paraId="3B9BFB20" w14:textId="77777777" w:rsidR="009E7A48" w:rsidRPr="00A40843" w:rsidRDefault="009E7A48" w:rsidP="009E7A48">
            <w:pPr>
              <w:numPr>
                <w:ilvl w:val="0"/>
                <w:numId w:val="17"/>
              </w:numPr>
              <w:spacing w:line="240" w:lineRule="auto"/>
              <w:textAlignment w:val="baseline"/>
              <w:rPr>
                <w:color w:val="auto"/>
                <w:lang w:eastAsia="en-AU"/>
              </w:rPr>
            </w:pPr>
            <w:r w:rsidRPr="00A40843">
              <w:rPr>
                <w:color w:val="auto"/>
                <w:lang w:eastAsia="en-AU"/>
              </w:rPr>
              <w:t>considers accessibility, cultural safety and affordability</w:t>
            </w:r>
          </w:p>
          <w:p w14:paraId="69FDC22E" w14:textId="77777777" w:rsidR="009E7A48" w:rsidRPr="00A40843" w:rsidRDefault="009E7A48" w:rsidP="009E7A48">
            <w:pPr>
              <w:numPr>
                <w:ilvl w:val="0"/>
                <w:numId w:val="17"/>
              </w:numPr>
              <w:spacing w:line="240" w:lineRule="auto"/>
              <w:textAlignment w:val="baseline"/>
              <w:rPr>
                <w:color w:val="auto"/>
                <w:lang w:eastAsia="en-AU"/>
              </w:rPr>
            </w:pPr>
            <w:r w:rsidRPr="00A40843">
              <w:rPr>
                <w:color w:val="auto"/>
                <w:lang w:eastAsia="en-AU"/>
              </w:rPr>
              <w:t>supports participation by people who may experience barriers to participation</w:t>
            </w:r>
          </w:p>
          <w:p w14:paraId="5D872B01" w14:textId="470F4A75" w:rsidR="00BB71C8" w:rsidRPr="00A40843" w:rsidRDefault="009E7A48" w:rsidP="009E7A48">
            <w:pPr>
              <w:numPr>
                <w:ilvl w:val="0"/>
                <w:numId w:val="17"/>
              </w:numPr>
              <w:spacing w:line="240" w:lineRule="auto"/>
              <w:textAlignment w:val="baseline"/>
              <w:rPr>
                <w:rFonts w:ascii="Calibri" w:hAnsi="Calibri" w:cs="Calibri"/>
                <w:color w:val="auto"/>
                <w:sz w:val="22"/>
                <w:lang w:eastAsia="en-AU"/>
              </w:rPr>
            </w:pPr>
            <w:r w:rsidRPr="00A40843">
              <w:rPr>
                <w:color w:val="auto"/>
                <w:lang w:eastAsia="en-AU"/>
              </w:rPr>
              <w:t>strengthens community connection, inclusion and social cohesion</w:t>
            </w:r>
          </w:p>
        </w:tc>
        <w:tc>
          <w:tcPr>
            <w:tcW w:w="1553" w:type="dxa"/>
            <w:shd w:val="clear" w:color="auto" w:fill="D9E2F3" w:themeFill="accent5" w:themeFillTint="33"/>
            <w:vAlign w:val="center"/>
          </w:tcPr>
          <w:p w14:paraId="2589B0F6" w14:textId="652204C9" w:rsidR="006D53AC" w:rsidRPr="00A40843" w:rsidRDefault="009E7A48" w:rsidP="003C4C2D">
            <w:pPr>
              <w:pStyle w:val="BodyBold"/>
              <w:jc w:val="center"/>
              <w:rPr>
                <w:color w:val="auto"/>
              </w:rPr>
            </w:pPr>
            <w:r w:rsidRPr="00A40843">
              <w:rPr>
                <w:color w:val="auto"/>
              </w:rPr>
              <w:t>20</w:t>
            </w:r>
            <w:r w:rsidR="00AC446C" w:rsidRPr="00A40843">
              <w:rPr>
                <w:color w:val="auto"/>
              </w:rPr>
              <w:t>%</w:t>
            </w:r>
          </w:p>
        </w:tc>
      </w:tr>
      <w:tr w:rsidR="00A40843" w:rsidRPr="00A40843" w14:paraId="06AC55DF" w14:textId="5C397237" w:rsidTr="3028F046">
        <w:tc>
          <w:tcPr>
            <w:tcW w:w="8075" w:type="dxa"/>
            <w:shd w:val="clear" w:color="auto" w:fill="D9E2F3" w:themeFill="accent5" w:themeFillTint="33"/>
          </w:tcPr>
          <w:p w14:paraId="6D77B85D" w14:textId="77777777" w:rsidR="008C05C5" w:rsidRPr="00A40843" w:rsidRDefault="008C05C5" w:rsidP="008C05C5">
            <w:pPr>
              <w:spacing w:line="300" w:lineRule="atLeast"/>
              <w:rPr>
                <w:b/>
                <w:bCs/>
                <w:color w:val="auto"/>
              </w:rPr>
            </w:pPr>
            <w:r w:rsidRPr="00A40843">
              <w:rPr>
                <w:b/>
                <w:bCs/>
                <w:color w:val="auto"/>
              </w:rPr>
              <w:t>Support capacity building, partnerships, collaboration and sustainable event development.</w:t>
            </w:r>
          </w:p>
          <w:p w14:paraId="1CE9531D" w14:textId="77777777" w:rsidR="008C05C5" w:rsidRPr="00A40843" w:rsidRDefault="008C05C5" w:rsidP="008C05C5">
            <w:pPr>
              <w:spacing w:line="300" w:lineRule="atLeast"/>
              <w:rPr>
                <w:b/>
                <w:bCs/>
                <w:color w:val="auto"/>
              </w:rPr>
            </w:pPr>
          </w:p>
          <w:p w14:paraId="3E028B21" w14:textId="77777777" w:rsidR="008C05C5" w:rsidRPr="00A40843" w:rsidRDefault="008C05C5" w:rsidP="008C05C5">
            <w:pPr>
              <w:spacing w:line="300" w:lineRule="atLeast"/>
              <w:rPr>
                <w:b/>
                <w:bCs/>
                <w:color w:val="auto"/>
              </w:rPr>
            </w:pPr>
            <w:r w:rsidRPr="00A40843">
              <w:rPr>
                <w:b/>
                <w:bCs/>
                <w:color w:val="auto"/>
              </w:rPr>
              <w:t>What does this look like?</w:t>
            </w:r>
          </w:p>
          <w:p w14:paraId="7A713804" w14:textId="77777777" w:rsidR="000D11AE" w:rsidRPr="00A40843" w:rsidRDefault="000D11AE" w:rsidP="000D11AE">
            <w:pPr>
              <w:numPr>
                <w:ilvl w:val="0"/>
                <w:numId w:val="17"/>
              </w:numPr>
              <w:spacing w:line="240" w:lineRule="auto"/>
              <w:textAlignment w:val="baseline"/>
              <w:rPr>
                <w:color w:val="auto"/>
                <w:lang w:eastAsia="en-AU"/>
              </w:rPr>
            </w:pPr>
            <w:r w:rsidRPr="00A40843">
              <w:rPr>
                <w:color w:val="auto"/>
                <w:lang w:eastAsia="en-AU"/>
              </w:rPr>
              <w:t>brings artists, organisations, businesses and community groups together</w:t>
            </w:r>
          </w:p>
          <w:p w14:paraId="647EDF85" w14:textId="77777777" w:rsidR="000D11AE" w:rsidRPr="00A40843" w:rsidRDefault="000D11AE" w:rsidP="000D11AE">
            <w:pPr>
              <w:numPr>
                <w:ilvl w:val="0"/>
                <w:numId w:val="17"/>
              </w:numPr>
              <w:spacing w:line="240" w:lineRule="auto"/>
              <w:textAlignment w:val="baseline"/>
              <w:rPr>
                <w:color w:val="auto"/>
                <w:lang w:eastAsia="en-AU"/>
              </w:rPr>
            </w:pPr>
            <w:r w:rsidRPr="00A40843">
              <w:rPr>
                <w:color w:val="auto"/>
                <w:lang w:eastAsia="en-AU"/>
              </w:rPr>
              <w:lastRenderedPageBreak/>
              <w:t>supports mentoring, skills development or knowledge sharing</w:t>
            </w:r>
          </w:p>
          <w:p w14:paraId="7251EB12" w14:textId="77777777" w:rsidR="000D11AE" w:rsidRPr="00A40843" w:rsidRDefault="000D11AE" w:rsidP="000D11AE">
            <w:pPr>
              <w:numPr>
                <w:ilvl w:val="0"/>
                <w:numId w:val="17"/>
              </w:numPr>
              <w:spacing w:line="240" w:lineRule="auto"/>
              <w:textAlignment w:val="baseline"/>
              <w:rPr>
                <w:color w:val="auto"/>
                <w:lang w:eastAsia="en-AU"/>
              </w:rPr>
            </w:pPr>
            <w:r w:rsidRPr="00A40843">
              <w:rPr>
                <w:color w:val="auto"/>
                <w:lang w:eastAsia="en-AU"/>
              </w:rPr>
              <w:t>demonstrates strong partnerships and collaboration</w:t>
            </w:r>
          </w:p>
          <w:p w14:paraId="4BB4181C" w14:textId="77777777" w:rsidR="000D11AE" w:rsidRPr="00A40843" w:rsidRDefault="000D11AE" w:rsidP="000D11AE">
            <w:pPr>
              <w:numPr>
                <w:ilvl w:val="0"/>
                <w:numId w:val="17"/>
              </w:numPr>
              <w:spacing w:line="240" w:lineRule="auto"/>
              <w:textAlignment w:val="baseline"/>
              <w:rPr>
                <w:color w:val="auto"/>
                <w:lang w:eastAsia="en-AU"/>
              </w:rPr>
            </w:pPr>
            <w:r w:rsidRPr="00A40843">
              <w:rPr>
                <w:color w:val="auto"/>
                <w:lang w:eastAsia="en-AU"/>
              </w:rPr>
              <w:t>strengthens local networks and community connections</w:t>
            </w:r>
          </w:p>
          <w:p w14:paraId="7B224136" w14:textId="570DCCB4" w:rsidR="00BB71C8" w:rsidRPr="00A40843" w:rsidRDefault="000D11AE" w:rsidP="000D11AE">
            <w:pPr>
              <w:numPr>
                <w:ilvl w:val="0"/>
                <w:numId w:val="17"/>
              </w:numPr>
              <w:spacing w:line="240" w:lineRule="auto"/>
              <w:textAlignment w:val="baseline"/>
              <w:rPr>
                <w:color w:val="auto"/>
              </w:rPr>
            </w:pPr>
            <w:r w:rsidRPr="00A40843">
              <w:rPr>
                <w:color w:val="auto"/>
                <w:lang w:eastAsia="en-AU"/>
              </w:rPr>
              <w:t>contributes to Port Phillip's creative and event sector</w:t>
            </w:r>
          </w:p>
        </w:tc>
        <w:tc>
          <w:tcPr>
            <w:tcW w:w="1553" w:type="dxa"/>
            <w:shd w:val="clear" w:color="auto" w:fill="D9E2F3" w:themeFill="accent5" w:themeFillTint="33"/>
            <w:vAlign w:val="center"/>
          </w:tcPr>
          <w:p w14:paraId="6C2C9DBD" w14:textId="3BF1385D" w:rsidR="006D53AC" w:rsidRPr="00A40843" w:rsidRDefault="00A86A0C" w:rsidP="003C4C2D">
            <w:pPr>
              <w:pStyle w:val="BodyBold"/>
              <w:jc w:val="center"/>
              <w:rPr>
                <w:color w:val="auto"/>
              </w:rPr>
            </w:pPr>
            <w:r w:rsidRPr="00A40843">
              <w:rPr>
                <w:color w:val="auto"/>
              </w:rPr>
              <w:lastRenderedPageBreak/>
              <w:t>20</w:t>
            </w:r>
            <w:r w:rsidR="00AC446C" w:rsidRPr="00A40843">
              <w:rPr>
                <w:color w:val="auto"/>
              </w:rPr>
              <w:t>%</w:t>
            </w:r>
          </w:p>
        </w:tc>
      </w:tr>
      <w:tr w:rsidR="00A40843" w:rsidRPr="00A40843" w14:paraId="2928D636" w14:textId="77777777" w:rsidTr="3028F046">
        <w:tc>
          <w:tcPr>
            <w:tcW w:w="8075" w:type="dxa"/>
            <w:shd w:val="clear" w:color="auto" w:fill="D9E2F3" w:themeFill="accent5" w:themeFillTint="33"/>
          </w:tcPr>
          <w:p w14:paraId="3155A9EE" w14:textId="5167A8FE" w:rsidR="006806CC" w:rsidRPr="00A40843" w:rsidRDefault="006806CC" w:rsidP="000D11AE">
            <w:pPr>
              <w:pStyle w:val="Heading5"/>
              <w:rPr>
                <w:color w:val="auto"/>
              </w:rPr>
            </w:pPr>
            <w:r w:rsidRPr="00A40843">
              <w:rPr>
                <w:color w:val="auto"/>
              </w:rPr>
              <w:t xml:space="preserve">Event delivery </w:t>
            </w:r>
            <w:r w:rsidR="000D11AE" w:rsidRPr="00A40843">
              <w:rPr>
                <w:color w:val="auto"/>
              </w:rPr>
              <w:t>and sustainability</w:t>
            </w:r>
          </w:p>
          <w:p w14:paraId="4B520B30" w14:textId="39F7F14F" w:rsidR="00BB71C8" w:rsidRPr="00A40843" w:rsidRDefault="000D11AE" w:rsidP="000D11AE">
            <w:pPr>
              <w:pStyle w:val="Heading5"/>
              <w:rPr>
                <w:color w:val="auto"/>
              </w:rPr>
            </w:pPr>
            <w:r w:rsidRPr="00A40843">
              <w:rPr>
                <w:color w:val="auto"/>
              </w:rPr>
              <w:t>What does this look like?</w:t>
            </w:r>
          </w:p>
          <w:p w14:paraId="65186A7F" w14:textId="77777777" w:rsidR="00B65788" w:rsidRPr="00A40843" w:rsidRDefault="00B65788" w:rsidP="00B65788">
            <w:pPr>
              <w:numPr>
                <w:ilvl w:val="0"/>
                <w:numId w:val="17"/>
              </w:numPr>
              <w:spacing w:line="240" w:lineRule="auto"/>
              <w:textAlignment w:val="baseline"/>
              <w:rPr>
                <w:color w:val="auto"/>
                <w:lang w:eastAsia="en-AU"/>
              </w:rPr>
            </w:pPr>
            <w:r w:rsidRPr="00A40843">
              <w:rPr>
                <w:color w:val="auto"/>
                <w:lang w:eastAsia="en-AU"/>
              </w:rPr>
              <w:t>has a clear and realistic plan for delivering the event</w:t>
            </w:r>
          </w:p>
          <w:p w14:paraId="74BA65C5" w14:textId="77777777" w:rsidR="00B65788" w:rsidRPr="00A40843" w:rsidRDefault="00B65788" w:rsidP="00B65788">
            <w:pPr>
              <w:numPr>
                <w:ilvl w:val="0"/>
                <w:numId w:val="17"/>
              </w:numPr>
              <w:spacing w:line="240" w:lineRule="auto"/>
              <w:textAlignment w:val="baseline"/>
              <w:rPr>
                <w:color w:val="auto"/>
                <w:lang w:eastAsia="en-AU"/>
              </w:rPr>
            </w:pPr>
            <w:r w:rsidRPr="00A40843">
              <w:rPr>
                <w:color w:val="auto"/>
                <w:lang w:eastAsia="en-AU"/>
              </w:rPr>
              <w:t>considers impacts on residents, businesses and public spaces</w:t>
            </w:r>
          </w:p>
          <w:p w14:paraId="2DDF3C64" w14:textId="77777777" w:rsidR="00B65788" w:rsidRPr="00A40843" w:rsidRDefault="00B65788" w:rsidP="00B65788">
            <w:pPr>
              <w:numPr>
                <w:ilvl w:val="0"/>
                <w:numId w:val="17"/>
              </w:numPr>
              <w:spacing w:line="240" w:lineRule="auto"/>
              <w:textAlignment w:val="baseline"/>
              <w:rPr>
                <w:color w:val="auto"/>
                <w:lang w:eastAsia="en-AU"/>
              </w:rPr>
            </w:pPr>
            <w:r w:rsidRPr="00A40843">
              <w:rPr>
                <w:color w:val="auto"/>
                <w:lang w:eastAsia="en-AU"/>
              </w:rPr>
              <w:t>minimises environmental impacts where possible</w:t>
            </w:r>
          </w:p>
          <w:p w14:paraId="681C8BB0" w14:textId="77777777" w:rsidR="00B65788" w:rsidRPr="00A40843" w:rsidRDefault="00B65788" w:rsidP="00B65788">
            <w:pPr>
              <w:numPr>
                <w:ilvl w:val="0"/>
                <w:numId w:val="17"/>
              </w:numPr>
              <w:spacing w:line="240" w:lineRule="auto"/>
              <w:textAlignment w:val="baseline"/>
              <w:rPr>
                <w:color w:val="auto"/>
                <w:lang w:eastAsia="en-AU"/>
              </w:rPr>
            </w:pPr>
            <w:r w:rsidRPr="00A40843">
              <w:rPr>
                <w:color w:val="auto"/>
                <w:lang w:eastAsia="en-AU"/>
              </w:rPr>
              <w:t>meets permit, safety and compliance requirements</w:t>
            </w:r>
          </w:p>
          <w:p w14:paraId="2A27C418" w14:textId="77777777" w:rsidR="00B65788" w:rsidRPr="00A40843" w:rsidRDefault="00B65788" w:rsidP="00B65788">
            <w:pPr>
              <w:numPr>
                <w:ilvl w:val="0"/>
                <w:numId w:val="17"/>
              </w:numPr>
              <w:spacing w:line="240" w:lineRule="auto"/>
              <w:textAlignment w:val="baseline"/>
              <w:rPr>
                <w:color w:val="auto"/>
                <w:lang w:eastAsia="en-AU"/>
              </w:rPr>
            </w:pPr>
            <w:r w:rsidRPr="00A40843">
              <w:rPr>
                <w:color w:val="auto"/>
                <w:lang w:eastAsia="en-AU"/>
              </w:rPr>
              <w:t>demonstrates responsible planning and use of resources</w:t>
            </w:r>
          </w:p>
          <w:p w14:paraId="61F0767F" w14:textId="31E67522" w:rsidR="00BB71C8" w:rsidRPr="00A40843" w:rsidRDefault="003A69EB" w:rsidP="00B65788">
            <w:pPr>
              <w:numPr>
                <w:ilvl w:val="0"/>
                <w:numId w:val="17"/>
              </w:numPr>
              <w:spacing w:line="240" w:lineRule="auto"/>
              <w:textAlignment w:val="baseline"/>
              <w:rPr>
                <w:color w:val="auto"/>
              </w:rPr>
            </w:pPr>
            <w:r w:rsidRPr="00A40843">
              <w:rPr>
                <w:color w:val="auto"/>
                <w:lang w:eastAsia="en-AU"/>
              </w:rPr>
              <w:t>creates lasting benefits for participants, communities or partners where appropriate.</w:t>
            </w:r>
          </w:p>
        </w:tc>
        <w:tc>
          <w:tcPr>
            <w:tcW w:w="1553" w:type="dxa"/>
            <w:shd w:val="clear" w:color="auto" w:fill="D9E2F3" w:themeFill="accent5" w:themeFillTint="33"/>
            <w:vAlign w:val="center"/>
          </w:tcPr>
          <w:p w14:paraId="60FEC718" w14:textId="24EFD5FF" w:rsidR="006806CC" w:rsidRPr="00A40843" w:rsidRDefault="00A86A0C" w:rsidP="00A567F1">
            <w:pPr>
              <w:pStyle w:val="BodyBold"/>
              <w:jc w:val="center"/>
              <w:rPr>
                <w:color w:val="auto"/>
              </w:rPr>
            </w:pPr>
            <w:r w:rsidRPr="00A40843">
              <w:rPr>
                <w:color w:val="auto"/>
              </w:rPr>
              <w:t>15</w:t>
            </w:r>
            <w:r w:rsidR="006806CC" w:rsidRPr="00A40843">
              <w:rPr>
                <w:color w:val="auto"/>
              </w:rPr>
              <w:t>%</w:t>
            </w:r>
          </w:p>
        </w:tc>
      </w:tr>
      <w:tr w:rsidR="00A40843" w:rsidRPr="00A40843" w14:paraId="2600BA1B" w14:textId="77777777" w:rsidTr="3028F046">
        <w:tc>
          <w:tcPr>
            <w:tcW w:w="8075" w:type="dxa"/>
            <w:shd w:val="clear" w:color="auto" w:fill="D9E2F3" w:themeFill="accent5" w:themeFillTint="33"/>
          </w:tcPr>
          <w:p w14:paraId="7A10CC5C" w14:textId="6D157344" w:rsidR="006806CC" w:rsidRPr="00A40843" w:rsidRDefault="006806CC" w:rsidP="000D11AE">
            <w:pPr>
              <w:pStyle w:val="Heading5"/>
              <w:rPr>
                <w:color w:val="auto"/>
              </w:rPr>
            </w:pPr>
            <w:r w:rsidRPr="00A40843">
              <w:rPr>
                <w:color w:val="auto"/>
              </w:rPr>
              <w:t xml:space="preserve">Standard of application </w:t>
            </w:r>
            <w:r w:rsidR="00DA42C8" w:rsidRPr="00A40843">
              <w:rPr>
                <w:color w:val="auto"/>
              </w:rPr>
              <w:t>and event viability</w:t>
            </w:r>
          </w:p>
          <w:p w14:paraId="1B3CDB3C" w14:textId="41E98074" w:rsidR="0059317C" w:rsidRPr="00A40843" w:rsidRDefault="0059317C" w:rsidP="0059317C">
            <w:pPr>
              <w:rPr>
                <w:b/>
                <w:bCs/>
                <w:color w:val="auto"/>
              </w:rPr>
            </w:pPr>
            <w:r w:rsidRPr="00A40843">
              <w:rPr>
                <w:b/>
                <w:bCs/>
                <w:color w:val="auto"/>
              </w:rPr>
              <w:t>What does this look like?</w:t>
            </w:r>
          </w:p>
          <w:p w14:paraId="2F383DC2" w14:textId="77777777" w:rsidR="00D30AC2" w:rsidRPr="00A40843" w:rsidRDefault="00D30AC2" w:rsidP="00D30AC2">
            <w:pPr>
              <w:numPr>
                <w:ilvl w:val="0"/>
                <w:numId w:val="17"/>
              </w:numPr>
              <w:spacing w:line="240" w:lineRule="auto"/>
              <w:textAlignment w:val="baseline"/>
              <w:rPr>
                <w:color w:val="auto"/>
                <w:lang w:eastAsia="en-AU"/>
              </w:rPr>
            </w:pPr>
            <w:r w:rsidRPr="00A40843">
              <w:rPr>
                <w:color w:val="auto"/>
                <w:lang w:eastAsia="en-AU"/>
              </w:rPr>
              <w:t>clearly explains the event and intended outcomes</w:t>
            </w:r>
          </w:p>
          <w:p w14:paraId="1BA5FA0B" w14:textId="77777777" w:rsidR="00D30AC2" w:rsidRPr="00A40843" w:rsidRDefault="00D30AC2" w:rsidP="00D30AC2">
            <w:pPr>
              <w:numPr>
                <w:ilvl w:val="0"/>
                <w:numId w:val="17"/>
              </w:numPr>
              <w:spacing w:line="240" w:lineRule="auto"/>
              <w:textAlignment w:val="baseline"/>
              <w:rPr>
                <w:color w:val="auto"/>
                <w:lang w:eastAsia="en-AU"/>
              </w:rPr>
            </w:pPr>
            <w:r w:rsidRPr="00A40843">
              <w:rPr>
                <w:color w:val="auto"/>
                <w:lang w:eastAsia="en-AU"/>
              </w:rPr>
              <w:t>includes a realistic and balanced budget</w:t>
            </w:r>
          </w:p>
          <w:p w14:paraId="1E6DBE77" w14:textId="77777777" w:rsidR="00373158" w:rsidRPr="00A40843" w:rsidRDefault="00341ABE" w:rsidP="00D30AC2">
            <w:pPr>
              <w:numPr>
                <w:ilvl w:val="0"/>
                <w:numId w:val="17"/>
              </w:numPr>
              <w:spacing w:line="240" w:lineRule="auto"/>
              <w:textAlignment w:val="baseline"/>
              <w:rPr>
                <w:color w:val="auto"/>
              </w:rPr>
            </w:pPr>
            <w:r w:rsidRPr="00A40843">
              <w:rPr>
                <w:color w:val="auto"/>
                <w:lang w:eastAsia="en-AU"/>
              </w:rPr>
              <w:t>demonstrates a realistic budget and a financially achievable event</w:t>
            </w:r>
          </w:p>
          <w:p w14:paraId="1EAE9E13" w14:textId="46E01AB7" w:rsidR="00BB71C8" w:rsidRPr="00A40843" w:rsidRDefault="00D30AC2" w:rsidP="00D30AC2">
            <w:pPr>
              <w:numPr>
                <w:ilvl w:val="0"/>
                <w:numId w:val="17"/>
              </w:numPr>
              <w:spacing w:line="240" w:lineRule="auto"/>
              <w:textAlignment w:val="baseline"/>
              <w:rPr>
                <w:color w:val="auto"/>
              </w:rPr>
            </w:pPr>
            <w:r w:rsidRPr="00A40843">
              <w:rPr>
                <w:color w:val="auto"/>
                <w:lang w:eastAsia="en-AU"/>
              </w:rPr>
              <w:t>provides enough information for assessors to understand and evaluate the proposal</w:t>
            </w:r>
          </w:p>
        </w:tc>
        <w:tc>
          <w:tcPr>
            <w:tcW w:w="1553" w:type="dxa"/>
            <w:shd w:val="clear" w:color="auto" w:fill="D9E2F3" w:themeFill="accent5" w:themeFillTint="33"/>
            <w:vAlign w:val="center"/>
          </w:tcPr>
          <w:p w14:paraId="2BF30B2E" w14:textId="22EAA63C" w:rsidR="006806CC" w:rsidRPr="00A40843" w:rsidRDefault="006806CC" w:rsidP="00A567F1">
            <w:pPr>
              <w:pStyle w:val="BodyBold"/>
              <w:jc w:val="center"/>
              <w:rPr>
                <w:color w:val="auto"/>
              </w:rPr>
            </w:pPr>
            <w:r w:rsidRPr="00A40843">
              <w:rPr>
                <w:color w:val="auto"/>
              </w:rPr>
              <w:t>5%</w:t>
            </w:r>
          </w:p>
        </w:tc>
      </w:tr>
    </w:tbl>
    <w:p w14:paraId="4ED05A8E" w14:textId="0B1D089F" w:rsidR="00453C26" w:rsidRPr="00A40843" w:rsidRDefault="54650D2C" w:rsidP="00CD0BEE">
      <w:pPr>
        <w:pStyle w:val="Heading2"/>
        <w:rPr>
          <w:color w:val="auto"/>
        </w:rPr>
      </w:pPr>
      <w:bookmarkStart w:id="32" w:name="_Support_documentation_required"/>
      <w:bookmarkStart w:id="33" w:name="_Toc235521257"/>
      <w:bookmarkEnd w:id="31"/>
      <w:bookmarkEnd w:id="32"/>
      <w:r w:rsidRPr="00A40843">
        <w:rPr>
          <w:color w:val="auto"/>
        </w:rPr>
        <w:t xml:space="preserve">Support </w:t>
      </w:r>
      <w:r w:rsidR="72EA4B08" w:rsidRPr="00A40843">
        <w:rPr>
          <w:color w:val="auto"/>
        </w:rPr>
        <w:t>d</w:t>
      </w:r>
      <w:r w:rsidRPr="00A40843">
        <w:rPr>
          <w:color w:val="auto"/>
        </w:rPr>
        <w:t xml:space="preserve">ocumentation </w:t>
      </w:r>
      <w:r w:rsidR="72EA4B08" w:rsidRPr="00A40843">
        <w:rPr>
          <w:color w:val="auto"/>
        </w:rPr>
        <w:t>r</w:t>
      </w:r>
      <w:r w:rsidRPr="00A40843">
        <w:rPr>
          <w:color w:val="auto"/>
        </w:rPr>
        <w:t>equired</w:t>
      </w:r>
      <w:bookmarkEnd w:id="33"/>
    </w:p>
    <w:p w14:paraId="7358E8FC" w14:textId="76115617" w:rsidR="00EB0978" w:rsidRPr="00A40843" w:rsidRDefault="00EB0978" w:rsidP="00EB0978">
      <w:pPr>
        <w:rPr>
          <w:color w:val="auto"/>
        </w:rPr>
      </w:pPr>
      <w:r w:rsidRPr="00A40843">
        <w:rPr>
          <w:color w:val="auto"/>
        </w:rPr>
        <w:t>The following support documents may be uploaded with the electronic application. Please limit size of individual documents to 2MB</w:t>
      </w:r>
      <w:r w:rsidR="00CD0BEE" w:rsidRPr="00A40843">
        <w:rPr>
          <w:color w:val="auto"/>
        </w:rPr>
        <w:t xml:space="preserve"> where possible</w:t>
      </w:r>
      <w:r w:rsidRPr="00A40843">
        <w:rPr>
          <w:color w:val="auto"/>
        </w:rPr>
        <w:t>.</w:t>
      </w:r>
    </w:p>
    <w:p w14:paraId="34EEEE3A" w14:textId="77777777" w:rsidR="00EB0978" w:rsidRPr="00A40843" w:rsidRDefault="00EB0978" w:rsidP="00EB0978">
      <w:pPr>
        <w:pStyle w:val="NormalBullets"/>
      </w:pPr>
      <w:r w:rsidRPr="00A40843">
        <w:t>Confirmation of commitment from supporting venue(s) where applicable.</w:t>
      </w:r>
    </w:p>
    <w:p w14:paraId="4D360973" w14:textId="77777777" w:rsidR="00EB0978" w:rsidRPr="00A40843" w:rsidRDefault="00EB0978" w:rsidP="00EB0978">
      <w:pPr>
        <w:pStyle w:val="NormalBullets"/>
        <w:rPr>
          <w:lang w:val="en-US"/>
        </w:rPr>
      </w:pPr>
      <w:r w:rsidRPr="00A40843">
        <w:rPr>
          <w:lang w:val="en-US"/>
        </w:rPr>
        <w:t>Letters of support from participating organisations and or partners.</w:t>
      </w:r>
    </w:p>
    <w:p w14:paraId="2D156D93" w14:textId="77777777" w:rsidR="00EB0978" w:rsidRPr="00A40843" w:rsidRDefault="00EB0978" w:rsidP="00EB0978">
      <w:pPr>
        <w:pStyle w:val="NormalBullets"/>
        <w:rPr>
          <w:lang w:val="en-US"/>
        </w:rPr>
      </w:pPr>
      <w:r w:rsidRPr="00A40843">
        <w:rPr>
          <w:lang w:val="en-US"/>
        </w:rPr>
        <w:t>Proof of public liability cover to the value of $20m.</w:t>
      </w:r>
    </w:p>
    <w:p w14:paraId="2A19705A" w14:textId="77777777" w:rsidR="00EB0978" w:rsidRPr="00A40843" w:rsidRDefault="00EB0978" w:rsidP="00EB0978">
      <w:pPr>
        <w:pStyle w:val="NormalBullets"/>
        <w:rPr>
          <w:lang w:val="en-US"/>
        </w:rPr>
      </w:pPr>
      <w:r w:rsidRPr="00A40843">
        <w:rPr>
          <w:lang w:val="en-US"/>
        </w:rPr>
        <w:t>Resume highlights of the key personnel (only contain information relevant to the event).</w:t>
      </w:r>
    </w:p>
    <w:p w14:paraId="2CF7FF45" w14:textId="77777777" w:rsidR="00EB0978" w:rsidRPr="00A40843" w:rsidRDefault="00EB0978" w:rsidP="00EB0978">
      <w:pPr>
        <w:pStyle w:val="NormalBullets"/>
        <w:rPr>
          <w:lang w:val="en-US"/>
        </w:rPr>
      </w:pPr>
      <w:r w:rsidRPr="00A40843">
        <w:rPr>
          <w:lang w:val="en-US"/>
        </w:rPr>
        <w:t>Copy of most recent annual report (where applicable).</w:t>
      </w:r>
    </w:p>
    <w:p w14:paraId="4108B3FC" w14:textId="77777777" w:rsidR="00EB0978" w:rsidRPr="00A40843" w:rsidRDefault="00EB0978" w:rsidP="00EB0978">
      <w:pPr>
        <w:pStyle w:val="NormalBullets"/>
        <w:rPr>
          <w:lang w:val="en-US"/>
        </w:rPr>
      </w:pPr>
      <w:r w:rsidRPr="00A40843">
        <w:rPr>
          <w:lang w:val="en-US"/>
        </w:rPr>
        <w:t>Key examples of previous event promotional material, reviews, articles or supporting images of previous events.</w:t>
      </w:r>
    </w:p>
    <w:p w14:paraId="05EDB40D" w14:textId="6ED4595F" w:rsidR="00EB0978" w:rsidRPr="00A40843" w:rsidRDefault="00EB0978" w:rsidP="00EB0978">
      <w:pPr>
        <w:pStyle w:val="NormalBullets"/>
        <w:rPr>
          <w:lang w:val="en-US"/>
        </w:rPr>
      </w:pPr>
      <w:r w:rsidRPr="00A40843">
        <w:rPr>
          <w:lang w:val="en-US"/>
        </w:rPr>
        <w:t>Supplementary budget information</w:t>
      </w:r>
      <w:r w:rsidR="00574A6A" w:rsidRPr="00A40843">
        <w:rPr>
          <w:lang w:val="en-US"/>
        </w:rPr>
        <w:t xml:space="preserve"> including quotes</w:t>
      </w:r>
      <w:r w:rsidRPr="00A40843">
        <w:rPr>
          <w:lang w:val="en-US"/>
        </w:rPr>
        <w:t xml:space="preserve"> (where applicable).</w:t>
      </w:r>
    </w:p>
    <w:p w14:paraId="0B21009C" w14:textId="5705395C" w:rsidR="00EB0978" w:rsidRPr="00A40843" w:rsidRDefault="00EB0978" w:rsidP="00EB0978">
      <w:pPr>
        <w:pStyle w:val="NormalBullets"/>
        <w:rPr>
          <w:lang w:val="en-US"/>
        </w:rPr>
      </w:pPr>
      <w:r w:rsidRPr="00A40843">
        <w:rPr>
          <w:lang w:val="en-US"/>
        </w:rPr>
        <w:t>A risk management plan; including a matrix identifying risks and measures to minimize risks (the detail provided with this will depend on the size of the event you are planning</w:t>
      </w:r>
      <w:r w:rsidR="00A40843">
        <w:rPr>
          <w:lang w:val="en-US"/>
        </w:rPr>
        <w:t>).</w:t>
      </w:r>
    </w:p>
    <w:p w14:paraId="0C2128C2" w14:textId="77777777" w:rsidR="00EB0978" w:rsidRPr="00A40843" w:rsidRDefault="00EB0978" w:rsidP="00EB0978">
      <w:pPr>
        <w:pStyle w:val="NormalBullets"/>
        <w:rPr>
          <w:b/>
        </w:rPr>
      </w:pPr>
      <w:r w:rsidRPr="00A40843">
        <w:t>Short artist bios or CV’s of key artists involved in the event.</w:t>
      </w:r>
    </w:p>
    <w:p w14:paraId="6F2543E9" w14:textId="77777777" w:rsidR="00EB0978" w:rsidRPr="00A40843" w:rsidRDefault="00EB0978" w:rsidP="00EB0978">
      <w:pPr>
        <w:pStyle w:val="NormalBullets"/>
        <w:rPr>
          <w:b/>
        </w:rPr>
      </w:pPr>
      <w:r w:rsidRPr="00A40843">
        <w:t>Relevant experience of producers or festival/event committee.</w:t>
      </w:r>
    </w:p>
    <w:p w14:paraId="03AB2CA5" w14:textId="77777777" w:rsidR="00EB0978" w:rsidRPr="00AD7084" w:rsidRDefault="00EB0978" w:rsidP="00EB0978">
      <w:pPr>
        <w:pStyle w:val="NormalBullets"/>
      </w:pPr>
      <w:r>
        <w:lastRenderedPageBreak/>
        <w:t>L</w:t>
      </w:r>
      <w:r w:rsidRPr="00B64C7A">
        <w:t xml:space="preserve">inks to </w:t>
      </w:r>
      <w:r w:rsidRPr="009F1DC5">
        <w:t>vimeo, facebook</w:t>
      </w:r>
      <w:r w:rsidRPr="00B64C7A">
        <w:t xml:space="preserve"> </w:t>
      </w:r>
      <w:r>
        <w:t>or you</w:t>
      </w:r>
      <w:r w:rsidRPr="009F1DC5">
        <w:t>tube</w:t>
      </w:r>
      <w:r w:rsidRPr="00B64C7A">
        <w:t xml:space="preserve"> as additional supplementary material</w:t>
      </w:r>
      <w:r>
        <w:t xml:space="preserve"> in labelled fields. Avoid using l</w:t>
      </w:r>
      <w:r w:rsidRPr="00B64C7A">
        <w:t xml:space="preserve">inks </w:t>
      </w:r>
      <w:r>
        <w:t>to online support material that require passwords for access.</w:t>
      </w:r>
    </w:p>
    <w:p w14:paraId="6237AB13" w14:textId="77777777" w:rsidR="00497282" w:rsidRPr="00FD1259" w:rsidRDefault="2F08EB47" w:rsidP="00BB71C8">
      <w:pPr>
        <w:pStyle w:val="Heading3"/>
      </w:pPr>
      <w:bookmarkStart w:id="34" w:name="_Auspice_organisation"/>
      <w:bookmarkStart w:id="35" w:name="_bookmark16"/>
      <w:bookmarkStart w:id="36" w:name="_Toc77577555"/>
      <w:bookmarkStart w:id="37" w:name="_Toc141257975"/>
      <w:bookmarkStart w:id="38" w:name="_Toc235521258"/>
      <w:bookmarkStart w:id="39" w:name="_Toc30072338"/>
      <w:bookmarkStart w:id="40" w:name="_Toc76044704"/>
      <w:bookmarkEnd w:id="34"/>
      <w:bookmarkEnd w:id="35"/>
      <w:r>
        <w:t>Permits and Local Laws</w:t>
      </w:r>
      <w:bookmarkEnd w:id="36"/>
      <w:bookmarkEnd w:id="37"/>
      <w:bookmarkEnd w:id="38"/>
    </w:p>
    <w:p w14:paraId="0CAAD21F" w14:textId="77777777" w:rsidR="00497282" w:rsidRDefault="00497282" w:rsidP="00497282">
      <w:r w:rsidRPr="00951214">
        <w:rPr>
          <w:lang w:val="en-US"/>
        </w:rPr>
        <w:t>Events in Council venues or open spaces</w:t>
      </w:r>
      <w:r w:rsidRPr="00951214">
        <w:rPr>
          <w:b/>
          <w:lang w:val="en-US"/>
        </w:rPr>
        <w:t xml:space="preserve"> </w:t>
      </w:r>
      <w:r w:rsidRPr="00951214">
        <w:rPr>
          <w:lang w:val="en-US"/>
        </w:rPr>
        <w:t>such as parks and foreshore may need permits</w:t>
      </w:r>
      <w:r w:rsidRPr="00951214">
        <w:t xml:space="preserve">. Applicants proposing </w:t>
      </w:r>
      <w:r>
        <w:t>events</w:t>
      </w:r>
      <w:r w:rsidRPr="00951214">
        <w:t xml:space="preserve"> which include the exhibition and installation of artworks or the building of temporary structures, or</w:t>
      </w:r>
      <w:r w:rsidRPr="00951214">
        <w:rPr>
          <w:b/>
        </w:rPr>
        <w:t xml:space="preserve"> </w:t>
      </w:r>
      <w:r w:rsidRPr="00951214">
        <w:t>performances or events in public and open space, may need advice regarding a permit application prior to application submission.</w:t>
      </w:r>
    </w:p>
    <w:p w14:paraId="104B970D" w14:textId="77777777" w:rsidR="00497282" w:rsidRDefault="2F08EB47" w:rsidP="00BB71C8">
      <w:pPr>
        <w:pStyle w:val="Heading3"/>
      </w:pPr>
      <w:bookmarkStart w:id="41" w:name="_Toc141257976"/>
      <w:bookmarkStart w:id="42" w:name="_Toc235521259"/>
      <w:r>
        <w:t>Event advice</w:t>
      </w:r>
      <w:r w:rsidRPr="34EBE9C9">
        <w:rPr>
          <w:sz w:val="22"/>
          <w:szCs w:val="22"/>
        </w:rPr>
        <w:t xml:space="preserve"> </w:t>
      </w:r>
      <w:r>
        <w:t>(for events in open space)</w:t>
      </w:r>
      <w:bookmarkEnd w:id="41"/>
      <w:bookmarkEnd w:id="42"/>
    </w:p>
    <w:p w14:paraId="3EEE9282" w14:textId="0266A664" w:rsidR="00497282" w:rsidRPr="00603908" w:rsidRDefault="00497282" w:rsidP="00497282">
      <w:r w:rsidRPr="634383DA">
        <w:t xml:space="preserve">If you are organising an event in an open space, discuss your event with Council’s Events Team </w:t>
      </w:r>
      <w:r w:rsidR="73AC5918" w:rsidRPr="634383DA">
        <w:t>well in advance</w:t>
      </w:r>
      <w:r w:rsidRPr="634383DA">
        <w:t xml:space="preserve"> </w:t>
      </w:r>
      <w:r w:rsidR="6AAA560C" w:rsidRPr="634383DA">
        <w:t>of</w:t>
      </w:r>
      <w:r w:rsidRPr="634383DA">
        <w:t xml:space="preserve"> your event</w:t>
      </w:r>
      <w:r w:rsidR="76CEB739" w:rsidRPr="634383DA">
        <w:t xml:space="preserve"> presentation date</w:t>
      </w:r>
      <w:r w:rsidRPr="634383DA">
        <w:t>.</w:t>
      </w:r>
    </w:p>
    <w:p w14:paraId="4E19D6D7" w14:textId="23E340E5" w:rsidR="00497282" w:rsidRDefault="00497282" w:rsidP="634383DA">
      <w:pPr>
        <w:spacing w:after="120"/>
      </w:pPr>
      <w:r>
        <w:t>Applicants planning events in outdoor public space will be required to apply for a City of Port Phillip Event permit.</w:t>
      </w:r>
      <w:r w:rsidR="2BB8B888">
        <w:t xml:space="preserve"> </w:t>
      </w:r>
    </w:p>
    <w:p w14:paraId="3A1131A9" w14:textId="1F6D05DC" w:rsidR="00497282" w:rsidRDefault="00497282" w:rsidP="634383DA">
      <w:pPr>
        <w:spacing w:after="120"/>
      </w:pPr>
      <w:r w:rsidRPr="634383DA">
        <w:rPr>
          <w:color w:val="auto"/>
        </w:rPr>
        <w:t xml:space="preserve">For information and contacts </w:t>
      </w:r>
      <w:r>
        <w:t xml:space="preserve">refer to </w:t>
      </w:r>
      <w:hyperlink r:id="rId17">
        <w:r w:rsidRPr="634383DA">
          <w:rPr>
            <w:rStyle w:val="Hyperlink"/>
          </w:rPr>
          <w:t>City of Port Phillip Events Application</w:t>
        </w:r>
      </w:hyperlink>
      <w:r>
        <w:t xml:space="preserve"> webpage </w:t>
      </w:r>
    </w:p>
    <w:p w14:paraId="17F50C6B" w14:textId="306B8AD7" w:rsidR="00BB71C8" w:rsidRPr="00BB71C8" w:rsidRDefault="3BEFF9F6" w:rsidP="00D90702">
      <w:pPr>
        <w:pStyle w:val="Heading3"/>
      </w:pPr>
      <w:bookmarkStart w:id="43" w:name="_Toc235521260"/>
      <w:r>
        <w:t xml:space="preserve">Working with First </w:t>
      </w:r>
      <w:r w:rsidR="4A6C035E">
        <w:t>Peoples</w:t>
      </w:r>
      <w:bookmarkEnd w:id="43"/>
    </w:p>
    <w:p w14:paraId="7D3AF268" w14:textId="77777777" w:rsidR="00E3633F" w:rsidRPr="000B1743" w:rsidRDefault="00E3633F" w:rsidP="00E3633F">
      <w:pPr>
        <w:rPr>
          <w:rStyle w:val="Hyperlink"/>
          <w:color w:val="000000" w:themeColor="text1"/>
          <w:u w:val="none"/>
        </w:rPr>
      </w:pPr>
      <w:r w:rsidRPr="0034406C">
        <w:rPr>
          <w:rStyle w:val="Hyperlink"/>
          <w:color w:val="000000" w:themeColor="text1"/>
          <w:u w:val="none"/>
        </w:rPr>
        <w:t xml:space="preserve">The </w:t>
      </w:r>
      <w:r>
        <w:rPr>
          <w:rStyle w:val="Hyperlink"/>
          <w:color w:val="000000" w:themeColor="text1"/>
          <w:u w:val="none"/>
        </w:rPr>
        <w:t>t</w:t>
      </w:r>
      <w:r w:rsidRPr="0034406C">
        <w:rPr>
          <w:rStyle w:val="Hyperlink"/>
          <w:color w:val="000000" w:themeColor="text1"/>
          <w:u w:val="none"/>
        </w:rPr>
        <w:t xml:space="preserve">raditional </w:t>
      </w:r>
      <w:r>
        <w:rPr>
          <w:rStyle w:val="Hyperlink"/>
          <w:color w:val="000000" w:themeColor="text1"/>
          <w:u w:val="none"/>
        </w:rPr>
        <w:t>b</w:t>
      </w:r>
      <w:r w:rsidRPr="0034406C">
        <w:rPr>
          <w:rStyle w:val="Hyperlink"/>
          <w:color w:val="000000" w:themeColor="text1"/>
          <w:u w:val="none"/>
        </w:rPr>
        <w:t xml:space="preserve">oundaries that make up the City of Port Phillip belong to the </w:t>
      </w:r>
      <w:hyperlink r:id="rId18" w:history="1">
        <w:r w:rsidRPr="00EE2DA9">
          <w:rPr>
            <w:rStyle w:val="Hyperlink"/>
          </w:rPr>
          <w:t>Bunurong People</w:t>
        </w:r>
      </w:hyperlink>
      <w:r w:rsidRPr="0034406C">
        <w:rPr>
          <w:rStyle w:val="Hyperlink"/>
          <w:color w:val="000000" w:themeColor="text1"/>
          <w:u w:val="none"/>
        </w:rPr>
        <w:t xml:space="preserve">, </w:t>
      </w:r>
      <w:hyperlink r:id="rId19" w:history="1">
        <w:r w:rsidRPr="006B47C5">
          <w:rPr>
            <w:rStyle w:val="Hyperlink"/>
          </w:rPr>
          <w:t>Boon Wurrung People</w:t>
        </w:r>
      </w:hyperlink>
      <w:r w:rsidRPr="0034406C">
        <w:rPr>
          <w:rStyle w:val="Hyperlink"/>
          <w:color w:val="000000" w:themeColor="text1"/>
          <w:u w:val="none"/>
        </w:rPr>
        <w:t xml:space="preserve"> and the </w:t>
      </w:r>
      <w:hyperlink r:id="rId20" w:history="1">
        <w:r w:rsidRPr="00BB2B26">
          <w:rPr>
            <w:rStyle w:val="Hyperlink"/>
          </w:rPr>
          <w:t>Wurundjeri Woi Wurrung People</w:t>
        </w:r>
      </w:hyperlink>
      <w:r w:rsidRPr="0034406C">
        <w:rPr>
          <w:rStyle w:val="Hyperlink"/>
          <w:color w:val="000000" w:themeColor="text1"/>
          <w:u w:val="none"/>
        </w:rPr>
        <w:t xml:space="preserve"> of the wider Kulin Nation; with Bunurong People and Wurundjeri Woi Wurrung People being formally recognised as Registered Aboriginal Parties. </w:t>
      </w:r>
      <w:r>
        <w:rPr>
          <w:rStyle w:val="Hyperlink"/>
          <w:color w:val="000000" w:themeColor="text1"/>
          <w:u w:val="none"/>
        </w:rPr>
        <w:br/>
      </w:r>
      <w:r>
        <w:rPr>
          <w:rStyle w:val="Hyperlink"/>
          <w:color w:val="000000" w:themeColor="text1"/>
          <w:u w:val="none"/>
        </w:rPr>
        <w:br/>
        <w:t xml:space="preserve">Please </w:t>
      </w:r>
      <w:r w:rsidRPr="0034406C">
        <w:rPr>
          <w:rStyle w:val="Hyperlink"/>
          <w:color w:val="000000" w:themeColor="text1"/>
          <w:u w:val="none"/>
        </w:rPr>
        <w:t xml:space="preserve">follow </w:t>
      </w:r>
      <w:r>
        <w:rPr>
          <w:rStyle w:val="Hyperlink"/>
          <w:color w:val="000000" w:themeColor="text1"/>
          <w:u w:val="none"/>
        </w:rPr>
        <w:t xml:space="preserve">appropriate </w:t>
      </w:r>
      <w:r w:rsidRPr="0034406C">
        <w:rPr>
          <w:rStyle w:val="Hyperlink"/>
          <w:color w:val="000000" w:themeColor="text1"/>
          <w:u w:val="none"/>
        </w:rPr>
        <w:t>cultural protocols</w:t>
      </w:r>
      <w:r>
        <w:rPr>
          <w:rStyle w:val="Hyperlink"/>
          <w:color w:val="000000" w:themeColor="text1"/>
          <w:u w:val="none"/>
        </w:rPr>
        <w:t xml:space="preserve"> when </w:t>
      </w:r>
      <w:r w:rsidRPr="0034406C">
        <w:rPr>
          <w:rStyle w:val="Hyperlink"/>
          <w:color w:val="000000" w:themeColor="text1"/>
          <w:u w:val="none"/>
        </w:rPr>
        <w:t xml:space="preserve">engaging with Traditional Owner Groups, </w:t>
      </w:r>
      <w:r>
        <w:rPr>
          <w:rStyle w:val="Hyperlink"/>
          <w:color w:val="000000" w:themeColor="text1"/>
          <w:u w:val="none"/>
        </w:rPr>
        <w:t xml:space="preserve">this is </w:t>
      </w:r>
      <w:r w:rsidRPr="0034406C">
        <w:rPr>
          <w:rStyle w:val="Hyperlink"/>
          <w:color w:val="000000" w:themeColor="text1"/>
          <w:u w:val="none"/>
        </w:rPr>
        <w:t xml:space="preserve">particularly </w:t>
      </w:r>
      <w:r>
        <w:rPr>
          <w:rStyle w:val="Hyperlink"/>
          <w:color w:val="000000" w:themeColor="text1"/>
          <w:u w:val="none"/>
        </w:rPr>
        <w:t>important for projects and activities that include</w:t>
      </w:r>
      <w:r w:rsidRPr="0034406C">
        <w:rPr>
          <w:rStyle w:val="Hyperlink"/>
          <w:color w:val="000000" w:themeColor="text1"/>
          <w:u w:val="none"/>
        </w:rPr>
        <w:t xml:space="preserve"> Indigenous elements</w:t>
      </w:r>
      <w:r>
        <w:rPr>
          <w:rStyle w:val="Hyperlink"/>
          <w:color w:val="000000" w:themeColor="text1"/>
          <w:u w:val="none"/>
        </w:rPr>
        <w:t>, First Peoples participation</w:t>
      </w:r>
      <w:r w:rsidRPr="0034406C">
        <w:rPr>
          <w:rStyle w:val="Hyperlink"/>
          <w:color w:val="000000" w:themeColor="text1"/>
          <w:u w:val="none"/>
        </w:rPr>
        <w:t xml:space="preserve"> or initiatives </w:t>
      </w:r>
      <w:r>
        <w:rPr>
          <w:rStyle w:val="Hyperlink"/>
          <w:color w:val="000000" w:themeColor="text1"/>
          <w:u w:val="none"/>
        </w:rPr>
        <w:t xml:space="preserve">that require </w:t>
      </w:r>
      <w:r w:rsidRPr="0034406C">
        <w:rPr>
          <w:rStyle w:val="Hyperlink"/>
          <w:color w:val="000000" w:themeColor="text1"/>
          <w:u w:val="none"/>
        </w:rPr>
        <w:t>engag</w:t>
      </w:r>
      <w:r>
        <w:rPr>
          <w:rStyle w:val="Hyperlink"/>
          <w:color w:val="000000" w:themeColor="text1"/>
          <w:u w:val="none"/>
        </w:rPr>
        <w:t>ing</w:t>
      </w:r>
      <w:r w:rsidRPr="0034406C">
        <w:rPr>
          <w:rStyle w:val="Hyperlink"/>
          <w:color w:val="000000" w:themeColor="text1"/>
          <w:u w:val="none"/>
        </w:rPr>
        <w:t xml:space="preserve"> with Traditional Owners through a consultation process.</w:t>
      </w:r>
    </w:p>
    <w:p w14:paraId="1F4CD4B3" w14:textId="77777777" w:rsidR="00041E16" w:rsidRPr="00DB63FA" w:rsidRDefault="408F29A5" w:rsidP="00BB71C8">
      <w:pPr>
        <w:pStyle w:val="Heading3"/>
      </w:pPr>
      <w:bookmarkStart w:id="44" w:name="_Toc235521261"/>
      <w:r>
        <w:t>Artists working with community</w:t>
      </w:r>
      <w:bookmarkEnd w:id="44"/>
    </w:p>
    <w:p w14:paraId="20B88ECC" w14:textId="65298F34" w:rsidR="634383DA" w:rsidRDefault="009C57F1" w:rsidP="003B61C6">
      <w:pPr>
        <w:spacing w:after="100" w:afterAutospacing="1"/>
      </w:pPr>
      <w:r>
        <w:t xml:space="preserve"> Community groups and a</w:t>
      </w:r>
      <w:r w:rsidR="00041E16">
        <w:t xml:space="preserve">rtists who are interested in working with the community may find this useful  </w:t>
      </w:r>
      <w:hyperlink r:id="rId21">
        <w:r w:rsidR="00041E16" w:rsidRPr="634383DA">
          <w:rPr>
            <w:rStyle w:val="Hyperlink"/>
          </w:rPr>
          <w:t>The Arts Ripple Effect | Creative Victoria</w:t>
        </w:r>
      </w:hyperlink>
      <w:r w:rsidR="000643F8">
        <w:rPr>
          <w:rFonts w:eastAsia="Arial"/>
          <w:szCs w:val="24"/>
        </w:rPr>
        <w:t>.</w:t>
      </w:r>
    </w:p>
    <w:p w14:paraId="037D883E" w14:textId="1A6C7EE7" w:rsidR="00E319A4" w:rsidRPr="00A6545D" w:rsidRDefault="2FE591F0" w:rsidP="00607222">
      <w:pPr>
        <w:pStyle w:val="Heading2"/>
      </w:pPr>
      <w:bookmarkStart w:id="45" w:name="_Toc235521262"/>
      <w:bookmarkEnd w:id="39"/>
      <w:bookmarkEnd w:id="40"/>
      <w:r>
        <w:t>Submitting your application</w:t>
      </w:r>
      <w:bookmarkEnd w:id="45"/>
    </w:p>
    <w:p w14:paraId="6A79F465" w14:textId="7BA1BFEC" w:rsidR="002B551C" w:rsidRDefault="00E319A4" w:rsidP="002B551C">
      <w:r w:rsidRPr="00A6545D">
        <w:t>All applications are made online through City of Port Phillip’s Smarty Grants.</w:t>
      </w:r>
    </w:p>
    <w:p w14:paraId="26C1DADC" w14:textId="77777777" w:rsidR="002B551C" w:rsidRPr="002B551C" w:rsidRDefault="002B551C" w:rsidP="002B551C">
      <w:pPr>
        <w:rPr>
          <w:rStyle w:val="Hyperlink"/>
          <w:b/>
          <w:bCs/>
        </w:rPr>
      </w:pPr>
      <w:r w:rsidRPr="002B551C">
        <w:rPr>
          <w:b/>
          <w:bCs/>
        </w:rPr>
        <w:fldChar w:fldCharType="begin"/>
      </w:r>
      <w:r w:rsidRPr="002B551C">
        <w:rPr>
          <w:b/>
          <w:bCs/>
        </w:rPr>
        <w:instrText>HYPERLINK "https://login.smartygrants.com.au/realms/sg/protocol/openid-connect/auth?scope=openid&amp;state=0gykJ_lCLwOf9OkpN8VGAm33Lg5n7CVVLnYKcqLwEGE.5IqEYa6MRjA.cM3KrCpsT1uJ6Dn9UjlHCg&amp;response_type=code&amp;client_id=sg_broker&amp;redirect_uri=https%3A%2F%2Flogin.smartyfile.com.au%2Frealms%2Foc%2Fbroker%2Fsg_idp%2Fendpoint&amp;redirect_source=https%3A%2F%2Fportphillip.smartygrants.com.au%2Fsso%2Flogi&amp;nonce=ZVO7MgaeJFnmPJR3sqA4wQ"</w:instrText>
      </w:r>
      <w:r w:rsidRPr="002B551C">
        <w:rPr>
          <w:b/>
          <w:bCs/>
        </w:rPr>
      </w:r>
      <w:r w:rsidRPr="002B551C">
        <w:rPr>
          <w:b/>
          <w:bCs/>
        </w:rPr>
        <w:fldChar w:fldCharType="separate"/>
      </w:r>
      <w:r w:rsidRPr="002B551C">
        <w:rPr>
          <w:rStyle w:val="Hyperlink"/>
          <w:b/>
          <w:bCs/>
        </w:rPr>
        <w:t>SmartyGrants registration</w:t>
      </w:r>
    </w:p>
    <w:p w14:paraId="37CB69DC" w14:textId="32411E7F" w:rsidR="00E319A4" w:rsidRPr="002B551C" w:rsidRDefault="002B551C" w:rsidP="002B551C">
      <w:r w:rsidRPr="002B551C">
        <w:rPr>
          <w:b/>
          <w:bCs/>
        </w:rPr>
        <w:fldChar w:fldCharType="end"/>
      </w:r>
      <w:hyperlink r:id="rId22">
        <w:r w:rsidR="00E319A4" w:rsidRPr="634383DA">
          <w:rPr>
            <w:rStyle w:val="Hyperlink"/>
            <w:rFonts w:eastAsia="Calibri"/>
            <w:b/>
            <w:bCs/>
          </w:rPr>
          <w:t>Help guide for applicants</w:t>
        </w:r>
      </w:hyperlink>
    </w:p>
    <w:p w14:paraId="11A8EBD3" w14:textId="77777777" w:rsidR="00E319A4" w:rsidRPr="00A6545D" w:rsidRDefault="00E319A4" w:rsidP="00E319A4">
      <w:pPr>
        <w:tabs>
          <w:tab w:val="right" w:pos="8931"/>
        </w:tabs>
        <w:rPr>
          <w:rFonts w:eastAsia="Calibri"/>
          <w:b/>
          <w:bCs/>
          <w:iCs/>
          <w:color w:val="auto"/>
        </w:rPr>
      </w:pPr>
      <w:hyperlink r:id="rId23" w:history="1">
        <w:r w:rsidRPr="00A6545D">
          <w:rPr>
            <w:rFonts w:eastAsia="Calibri"/>
            <w:b/>
            <w:bCs/>
            <w:iCs/>
            <w:color w:val="0563C1" w:themeColor="hyperlink"/>
            <w:u w:val="single"/>
          </w:rPr>
          <w:t>Applicant frequently asked questions</w:t>
        </w:r>
      </w:hyperlink>
    </w:p>
    <w:p w14:paraId="63295B79" w14:textId="77777777" w:rsidR="00421952" w:rsidRDefault="00421952" w:rsidP="003C4C2D">
      <w:pPr>
        <w:rPr>
          <w:color w:val="0000FF"/>
          <w:u w:val="single"/>
        </w:rPr>
      </w:pPr>
      <w:r>
        <w:lastRenderedPageBreak/>
        <w:t xml:space="preserve">For all enquiries, please contact us via ASSIST </w:t>
      </w:r>
      <w:r w:rsidRPr="001128C8">
        <w:t xml:space="preserve">on </w:t>
      </w:r>
      <w:r>
        <w:t xml:space="preserve">03 </w:t>
      </w:r>
      <w:r w:rsidRPr="001128C8">
        <w:t>9209 6</w:t>
      </w:r>
      <w:r>
        <w:t xml:space="preserve">777 or send a service request online </w:t>
      </w:r>
      <w:hyperlink r:id="rId24" w:history="1">
        <w:r w:rsidRPr="00421952">
          <w:rPr>
            <w:color w:val="0000FF"/>
            <w:u w:val="single"/>
          </w:rPr>
          <w:t>Contact us - City of Port Phillip</w:t>
        </w:r>
      </w:hyperlink>
    </w:p>
    <w:p w14:paraId="1F2E6480" w14:textId="30677386" w:rsidR="009531F6" w:rsidRPr="009531F6" w:rsidRDefault="009531F6" w:rsidP="003C4C2D">
      <w:pPr>
        <w:rPr>
          <w:color w:val="auto"/>
          <w:u w:val="single"/>
        </w:rPr>
      </w:pPr>
      <w:r>
        <w:t xml:space="preserve">To find out about other </w:t>
      </w:r>
      <w:r w:rsidRPr="009475F9">
        <w:t>City of Port Phillip funding</w:t>
      </w:r>
      <w:r>
        <w:t xml:space="preserve"> and grants programs</w:t>
      </w:r>
      <w:r w:rsidRPr="009475F9">
        <w:t xml:space="preserve"> </w:t>
      </w:r>
      <w:r>
        <w:t>go to</w:t>
      </w:r>
      <w:r w:rsidRPr="009475F9">
        <w:t xml:space="preserve"> the </w:t>
      </w:r>
      <w:hyperlink r:id="rId25" w:history="1">
        <w:r w:rsidRPr="009475F9">
          <w:rPr>
            <w:rStyle w:val="Hyperlink"/>
          </w:rPr>
          <w:t>Fun</w:t>
        </w:r>
        <w:r>
          <w:rPr>
            <w:rStyle w:val="Hyperlink"/>
          </w:rPr>
          <w:t>d</w:t>
        </w:r>
        <w:r w:rsidRPr="009475F9">
          <w:rPr>
            <w:rStyle w:val="Hyperlink"/>
          </w:rPr>
          <w:t>ing Grants and Subsidies webpage</w:t>
        </w:r>
      </w:hyperlink>
    </w:p>
    <w:p w14:paraId="64F0155D" w14:textId="1AB6A58D" w:rsidR="00427E07" w:rsidRDefault="1618CD24" w:rsidP="00CD0BEE">
      <w:pPr>
        <w:pStyle w:val="Heading2"/>
      </w:pPr>
      <w:bookmarkStart w:id="46" w:name="_Toc235521263"/>
      <w:bookmarkStart w:id="47" w:name="_Hlk158117573"/>
      <w:r>
        <w:t xml:space="preserve">Support </w:t>
      </w:r>
      <w:r w:rsidR="1DAF214B">
        <w:t>p</w:t>
      </w:r>
      <w:r>
        <w:t>rovided by Council</w:t>
      </w:r>
      <w:bookmarkEnd w:id="46"/>
    </w:p>
    <w:p w14:paraId="2A6DAD1F" w14:textId="6701C29F" w:rsidR="008D31B1" w:rsidRPr="00AB438A" w:rsidRDefault="4CC2C267" w:rsidP="00BB71C8">
      <w:pPr>
        <w:pStyle w:val="Heading3"/>
      </w:pPr>
      <w:bookmarkStart w:id="48" w:name="_Toc76044692"/>
      <w:bookmarkStart w:id="49" w:name="_Toc235521264"/>
      <w:r>
        <w:t xml:space="preserve">Grants </w:t>
      </w:r>
      <w:r w:rsidR="5168D956">
        <w:t>I</w:t>
      </w:r>
      <w:r>
        <w:t xml:space="preserve">nformation </w:t>
      </w:r>
      <w:r w:rsidR="5168D956">
        <w:t>S</w:t>
      </w:r>
      <w:r>
        <w:t>ession</w:t>
      </w:r>
      <w:r w:rsidR="28ABBCE9">
        <w:t>s</w:t>
      </w:r>
      <w:r w:rsidR="5168D956">
        <w:t xml:space="preserve"> and Grant Writing Workshops</w:t>
      </w:r>
      <w:bookmarkEnd w:id="48"/>
      <w:bookmarkEnd w:id="49"/>
    </w:p>
    <w:p w14:paraId="4C9753E8" w14:textId="6700D88A" w:rsidR="008D31B1" w:rsidRPr="005B7851" w:rsidRDefault="008D31B1" w:rsidP="008D31B1">
      <w:pPr>
        <w:rPr>
          <w:szCs w:val="24"/>
        </w:rPr>
      </w:pPr>
      <w:r w:rsidRPr="005B7851">
        <w:rPr>
          <w:szCs w:val="24"/>
        </w:rPr>
        <w:t xml:space="preserve">All applicants are strongly encouraged to attend a </w:t>
      </w:r>
      <w:r w:rsidR="008D1F29" w:rsidRPr="005B7851">
        <w:rPr>
          <w:szCs w:val="24"/>
        </w:rPr>
        <w:t>G</w:t>
      </w:r>
      <w:r w:rsidR="00513A68" w:rsidRPr="005B7851">
        <w:rPr>
          <w:szCs w:val="24"/>
        </w:rPr>
        <w:t xml:space="preserve">rant </w:t>
      </w:r>
      <w:r w:rsidR="008D1F29" w:rsidRPr="005B7851">
        <w:rPr>
          <w:szCs w:val="24"/>
        </w:rPr>
        <w:t>W</w:t>
      </w:r>
      <w:r w:rsidR="00513A68" w:rsidRPr="005B7851">
        <w:rPr>
          <w:szCs w:val="24"/>
        </w:rPr>
        <w:t xml:space="preserve">riting </w:t>
      </w:r>
      <w:r w:rsidR="008D1F29" w:rsidRPr="005B7851">
        <w:rPr>
          <w:szCs w:val="24"/>
        </w:rPr>
        <w:t>W</w:t>
      </w:r>
      <w:r w:rsidR="00513A68" w:rsidRPr="005B7851">
        <w:rPr>
          <w:szCs w:val="24"/>
        </w:rPr>
        <w:t xml:space="preserve">orkshop </w:t>
      </w:r>
      <w:r w:rsidRPr="005B7851">
        <w:rPr>
          <w:szCs w:val="24"/>
        </w:rPr>
        <w:t xml:space="preserve">before applying for a </w:t>
      </w:r>
      <w:r w:rsidR="00421952">
        <w:rPr>
          <w:szCs w:val="24"/>
        </w:rPr>
        <w:t>Council</w:t>
      </w:r>
      <w:r w:rsidR="00421952" w:rsidRPr="005B7851">
        <w:rPr>
          <w:szCs w:val="24"/>
        </w:rPr>
        <w:t xml:space="preserve"> </w:t>
      </w:r>
      <w:r w:rsidRPr="005B7851">
        <w:rPr>
          <w:szCs w:val="24"/>
        </w:rPr>
        <w:t xml:space="preserve">Grant. </w:t>
      </w:r>
    </w:p>
    <w:p w14:paraId="77EBD38C" w14:textId="1DA50AF8" w:rsidR="002403E1" w:rsidRPr="008175EF" w:rsidRDefault="002403E1" w:rsidP="008D31B1">
      <w:pPr>
        <w:rPr>
          <w:szCs w:val="24"/>
        </w:rPr>
      </w:pPr>
      <w:bookmarkStart w:id="50" w:name="_Hlk234932519"/>
      <w:r w:rsidRPr="005B7851">
        <w:rPr>
          <w:szCs w:val="24"/>
        </w:rPr>
        <w:t xml:space="preserve">To </w:t>
      </w:r>
      <w:r w:rsidR="008175EF">
        <w:rPr>
          <w:szCs w:val="24"/>
        </w:rPr>
        <w:t xml:space="preserve">book and </w:t>
      </w:r>
      <w:r w:rsidR="00AA4447" w:rsidRPr="00A40843">
        <w:rPr>
          <w:color w:val="auto"/>
          <w:szCs w:val="24"/>
        </w:rPr>
        <w:t xml:space="preserve">attend </w:t>
      </w:r>
      <w:r w:rsidRPr="00A40843">
        <w:rPr>
          <w:color w:val="auto"/>
          <w:szCs w:val="24"/>
        </w:rPr>
        <w:t>a</w:t>
      </w:r>
      <w:r w:rsidR="008175EF" w:rsidRPr="00A40843">
        <w:rPr>
          <w:color w:val="auto"/>
          <w:szCs w:val="24"/>
        </w:rPr>
        <w:t>n online</w:t>
      </w:r>
      <w:r w:rsidR="006D0FE2">
        <w:rPr>
          <w:color w:val="auto"/>
          <w:szCs w:val="24"/>
        </w:rPr>
        <w:t xml:space="preserve"> for the</w:t>
      </w:r>
      <w:r w:rsidRPr="00A40843">
        <w:rPr>
          <w:color w:val="auto"/>
          <w:szCs w:val="24"/>
        </w:rPr>
        <w:t xml:space="preserve"> </w:t>
      </w:r>
      <w:r w:rsidR="00964AAA" w:rsidRPr="006D0FE2">
        <w:rPr>
          <w:b/>
          <w:bCs/>
          <w:color w:val="auto"/>
          <w:szCs w:val="24"/>
        </w:rPr>
        <w:t>G</w:t>
      </w:r>
      <w:r w:rsidRPr="006D0FE2">
        <w:rPr>
          <w:b/>
          <w:bCs/>
          <w:color w:val="auto"/>
          <w:szCs w:val="24"/>
        </w:rPr>
        <w:t xml:space="preserve">rant </w:t>
      </w:r>
      <w:r w:rsidR="00964AAA" w:rsidRPr="006D0FE2">
        <w:rPr>
          <w:b/>
          <w:bCs/>
          <w:color w:val="auto"/>
          <w:szCs w:val="24"/>
        </w:rPr>
        <w:t>W</w:t>
      </w:r>
      <w:r w:rsidRPr="006D0FE2">
        <w:rPr>
          <w:b/>
          <w:bCs/>
          <w:color w:val="auto"/>
          <w:szCs w:val="24"/>
        </w:rPr>
        <w:t>riting</w:t>
      </w:r>
      <w:r w:rsidR="008175EF" w:rsidRPr="006D0FE2">
        <w:rPr>
          <w:b/>
          <w:bCs/>
          <w:color w:val="auto"/>
          <w:szCs w:val="24"/>
        </w:rPr>
        <w:t xml:space="preserve"> for Creatives</w:t>
      </w:r>
      <w:r w:rsidRPr="006D0FE2">
        <w:rPr>
          <w:b/>
          <w:bCs/>
          <w:color w:val="auto"/>
          <w:szCs w:val="24"/>
        </w:rPr>
        <w:t xml:space="preserve"> </w:t>
      </w:r>
      <w:r w:rsidR="00964AAA" w:rsidRPr="006D0FE2">
        <w:rPr>
          <w:b/>
          <w:bCs/>
          <w:color w:val="auto"/>
          <w:szCs w:val="24"/>
        </w:rPr>
        <w:t>W</w:t>
      </w:r>
      <w:r w:rsidRPr="006D0FE2">
        <w:rPr>
          <w:b/>
          <w:bCs/>
          <w:color w:val="auto"/>
          <w:szCs w:val="24"/>
        </w:rPr>
        <w:t>orkshop</w:t>
      </w:r>
      <w:r w:rsidR="00964AAA" w:rsidRPr="00A40843">
        <w:rPr>
          <w:color w:val="auto"/>
          <w:szCs w:val="24"/>
        </w:rPr>
        <w:t>,</w:t>
      </w:r>
      <w:r w:rsidR="008175EF" w:rsidRPr="008175EF">
        <w:rPr>
          <w:szCs w:val="24"/>
        </w:rPr>
        <w:t xml:space="preserve"> </w:t>
      </w:r>
      <w:r w:rsidR="008175EF">
        <w:rPr>
          <w:szCs w:val="24"/>
        </w:rPr>
        <w:t xml:space="preserve">on Monday 3 August, 6 – 8.30 pm </w:t>
      </w:r>
      <w:r w:rsidR="00964AAA" w:rsidRPr="005B7851">
        <w:rPr>
          <w:szCs w:val="24"/>
        </w:rPr>
        <w:t>visit</w:t>
      </w:r>
      <w:r w:rsidRPr="005B7851">
        <w:rPr>
          <w:szCs w:val="24"/>
        </w:rPr>
        <w:t xml:space="preserve"> </w:t>
      </w:r>
      <w:hyperlink r:id="rId26" w:history="1">
        <w:r w:rsidRPr="005B7851">
          <w:rPr>
            <w:rStyle w:val="Hyperlink"/>
            <w:szCs w:val="24"/>
          </w:rPr>
          <w:t>Grant Writing Workshops</w:t>
        </w:r>
        <w:r w:rsidRPr="005B7851">
          <w:rPr>
            <w:rStyle w:val="Hyperlink"/>
            <w:szCs w:val="24"/>
            <w:vertAlign w:val="superscript"/>
          </w:rPr>
          <w:footnoteReference w:id="2"/>
        </w:r>
      </w:hyperlink>
    </w:p>
    <w:bookmarkEnd w:id="50"/>
    <w:p w14:paraId="52B2C169" w14:textId="106E9D20" w:rsidR="008D31B1" w:rsidRDefault="008D31B1" w:rsidP="006D1610">
      <w:pPr>
        <w:rPr>
          <w:rStyle w:val="Hyperlink"/>
          <w:szCs w:val="24"/>
        </w:rPr>
      </w:pPr>
      <w:r w:rsidRPr="005B7851">
        <w:rPr>
          <w:szCs w:val="24"/>
        </w:rPr>
        <w:t xml:space="preserve">Interpreters for Auslan and languages other than English are available upon request. If you have any access or support requirements to enable equitable participation in these sessions, please contact the Grants and Funding Officer, on phone: 03 9209 6777 or email: </w:t>
      </w:r>
      <w:hyperlink r:id="rId27" w:history="1">
        <w:r w:rsidRPr="005B7851">
          <w:rPr>
            <w:rStyle w:val="Hyperlink"/>
            <w:szCs w:val="24"/>
          </w:rPr>
          <w:t>grants@portphillip.vic.gov.au</w:t>
        </w:r>
      </w:hyperlink>
    </w:p>
    <w:p w14:paraId="4A878721" w14:textId="2D2F2752" w:rsidR="00427E07" w:rsidRDefault="1618CD24" w:rsidP="00CD0BEE">
      <w:pPr>
        <w:pStyle w:val="Heading2"/>
      </w:pPr>
      <w:bookmarkStart w:id="51" w:name="_bookmark15"/>
      <w:bookmarkStart w:id="52" w:name="_Toc235521265"/>
      <w:bookmarkStart w:id="53" w:name="_Hlk158126418"/>
      <w:bookmarkEnd w:id="47"/>
      <w:bookmarkEnd w:id="51"/>
      <w:r>
        <w:t xml:space="preserve">Funding </w:t>
      </w:r>
      <w:r w:rsidR="0DC6B42E">
        <w:t>p</w:t>
      </w:r>
      <w:r>
        <w:t>rinciples</w:t>
      </w:r>
      <w:bookmarkEnd w:id="52"/>
    </w:p>
    <w:tbl>
      <w:tblPr>
        <w:tblStyle w:val="TableGrid"/>
        <w:tblW w:w="10060" w:type="dxa"/>
        <w:tblLook w:val="04A0" w:firstRow="1" w:lastRow="0" w:firstColumn="1" w:lastColumn="0" w:noHBand="0" w:noVBand="1"/>
        <w:tblDescription w:val="Funding Principles and Examples"/>
      </w:tblPr>
      <w:tblGrid>
        <w:gridCol w:w="2891"/>
        <w:gridCol w:w="7169"/>
      </w:tblGrid>
      <w:tr w:rsidR="007A3871" w:rsidRPr="00187650" w14:paraId="0680CA34" w14:textId="77777777" w:rsidTr="008D31B1">
        <w:trPr>
          <w:trHeight w:val="537"/>
          <w:tblHeader/>
        </w:trPr>
        <w:tc>
          <w:tcPr>
            <w:tcW w:w="2891" w:type="dxa"/>
            <w:shd w:val="clear" w:color="auto" w:fill="BDD6EE" w:themeFill="accent1" w:themeFillTint="66"/>
            <w:vAlign w:val="center"/>
          </w:tcPr>
          <w:p w14:paraId="27A6AFAF" w14:textId="77777777" w:rsidR="007A3871" w:rsidRPr="005C24A0" w:rsidRDefault="007A3871" w:rsidP="008D31B1">
            <w:pPr>
              <w:rPr>
                <w:b/>
              </w:rPr>
            </w:pPr>
            <w:r w:rsidRPr="005C24A0">
              <w:rPr>
                <w:b/>
              </w:rPr>
              <w:t>Funding Principles</w:t>
            </w:r>
          </w:p>
        </w:tc>
        <w:tc>
          <w:tcPr>
            <w:tcW w:w="7169" w:type="dxa"/>
            <w:shd w:val="clear" w:color="auto" w:fill="BDD6EE" w:themeFill="accent1" w:themeFillTint="66"/>
            <w:vAlign w:val="center"/>
          </w:tcPr>
          <w:p w14:paraId="40AEA1C5" w14:textId="77777777" w:rsidR="007A3871" w:rsidRPr="005C24A0" w:rsidRDefault="007A3871" w:rsidP="008D31B1">
            <w:pPr>
              <w:rPr>
                <w:b/>
              </w:rPr>
            </w:pPr>
            <w:r w:rsidRPr="005C24A0">
              <w:rPr>
                <w:b/>
              </w:rPr>
              <w:t>Funding Principles Example</w:t>
            </w:r>
          </w:p>
        </w:tc>
      </w:tr>
      <w:tr w:rsidR="007A3871" w:rsidRPr="00187650" w14:paraId="0B2AA85D" w14:textId="77777777" w:rsidTr="008D31B1">
        <w:tc>
          <w:tcPr>
            <w:tcW w:w="2891" w:type="dxa"/>
          </w:tcPr>
          <w:p w14:paraId="15D9D2E2" w14:textId="77777777" w:rsidR="007A3871" w:rsidRPr="00187650" w:rsidRDefault="007A3871" w:rsidP="002650AE">
            <w:pPr>
              <w:spacing w:before="60" w:after="60"/>
            </w:pPr>
            <w:r w:rsidRPr="00187650">
              <w:t>Child Safe Standards</w:t>
            </w:r>
          </w:p>
        </w:tc>
        <w:tc>
          <w:tcPr>
            <w:tcW w:w="7169" w:type="dxa"/>
          </w:tcPr>
          <w:p w14:paraId="607BDF19" w14:textId="77777777" w:rsidR="007A3871" w:rsidRPr="00187650" w:rsidRDefault="007A3871" w:rsidP="002650AE">
            <w:pPr>
              <w:spacing w:before="60" w:after="60"/>
            </w:pPr>
            <w:r w:rsidRPr="00187650">
              <w:t>Meet obligations in relation to keeping children and young people safe</w:t>
            </w:r>
          </w:p>
        </w:tc>
      </w:tr>
      <w:tr w:rsidR="007A3871" w:rsidRPr="00187650" w14:paraId="0ED2A8F2" w14:textId="77777777" w:rsidTr="008D31B1">
        <w:tc>
          <w:tcPr>
            <w:tcW w:w="2891" w:type="dxa"/>
          </w:tcPr>
          <w:p w14:paraId="7E89A8EF" w14:textId="14534428" w:rsidR="007A3871" w:rsidRPr="00187650" w:rsidRDefault="007A3871" w:rsidP="002650AE">
            <w:pPr>
              <w:spacing w:before="60" w:after="60"/>
            </w:pPr>
            <w:r w:rsidRPr="00187650">
              <w:t xml:space="preserve">Inclusion </w:t>
            </w:r>
            <w:r w:rsidR="0030366F">
              <w:t>and</w:t>
            </w:r>
            <w:r w:rsidRPr="00187650">
              <w:t xml:space="preserve"> Accessibility</w:t>
            </w:r>
          </w:p>
        </w:tc>
        <w:tc>
          <w:tcPr>
            <w:tcW w:w="7169" w:type="dxa"/>
          </w:tcPr>
          <w:p w14:paraId="0222DF06" w14:textId="77777777" w:rsidR="007A3871" w:rsidRPr="00187650" w:rsidRDefault="007A3871" w:rsidP="002650AE">
            <w:pPr>
              <w:spacing w:before="60" w:after="60"/>
            </w:pPr>
            <w:r w:rsidRPr="00187650">
              <w:t>Be free from discrimination and enable equitable participation for all community members</w:t>
            </w:r>
          </w:p>
        </w:tc>
      </w:tr>
      <w:tr w:rsidR="007A3871" w:rsidRPr="00187650" w14:paraId="497B646F" w14:textId="77777777" w:rsidTr="008D31B1">
        <w:tc>
          <w:tcPr>
            <w:tcW w:w="2891" w:type="dxa"/>
          </w:tcPr>
          <w:p w14:paraId="42A8157F" w14:textId="77777777" w:rsidR="007A3871" w:rsidRPr="00187650" w:rsidRDefault="007A3871" w:rsidP="002650AE">
            <w:pPr>
              <w:spacing w:before="60" w:after="60"/>
            </w:pPr>
            <w:r w:rsidRPr="00187650">
              <w:t>Equity</w:t>
            </w:r>
          </w:p>
        </w:tc>
        <w:tc>
          <w:tcPr>
            <w:tcW w:w="7169" w:type="dxa"/>
          </w:tcPr>
          <w:p w14:paraId="454D81DA" w14:textId="77777777" w:rsidR="007A3871" w:rsidRPr="00187650" w:rsidRDefault="007A3871" w:rsidP="002650AE">
            <w:pPr>
              <w:spacing w:before="60" w:after="60"/>
            </w:pPr>
            <w:r w:rsidRPr="00187650">
              <w:t>Address disadvantage and offer equal opportunity to all by recognising the individual needs of different community members</w:t>
            </w:r>
          </w:p>
        </w:tc>
      </w:tr>
      <w:tr w:rsidR="007A3871" w:rsidRPr="00187650" w14:paraId="4D223444" w14:textId="77777777" w:rsidTr="008D31B1">
        <w:tc>
          <w:tcPr>
            <w:tcW w:w="2891" w:type="dxa"/>
          </w:tcPr>
          <w:p w14:paraId="1DC8C0CE" w14:textId="77777777" w:rsidR="007A3871" w:rsidRPr="00187650" w:rsidRDefault="007A3871" w:rsidP="002650AE">
            <w:pPr>
              <w:spacing w:before="60" w:after="60"/>
            </w:pPr>
            <w:r w:rsidRPr="00187650">
              <w:t>Responsiveness</w:t>
            </w:r>
          </w:p>
        </w:tc>
        <w:tc>
          <w:tcPr>
            <w:tcW w:w="7169" w:type="dxa"/>
          </w:tcPr>
          <w:p w14:paraId="39996771" w14:textId="77777777" w:rsidR="007A3871" w:rsidRPr="00187650" w:rsidRDefault="007A3871" w:rsidP="002650AE">
            <w:pPr>
              <w:spacing w:before="60" w:after="60"/>
            </w:pPr>
            <w:r w:rsidRPr="00187650">
              <w:t>Consult with participants and service users to respond to community needs.</w:t>
            </w:r>
          </w:p>
        </w:tc>
      </w:tr>
      <w:tr w:rsidR="007A3871" w:rsidRPr="00187650" w14:paraId="15CBF012" w14:textId="77777777" w:rsidTr="008D31B1">
        <w:tc>
          <w:tcPr>
            <w:tcW w:w="2891" w:type="dxa"/>
          </w:tcPr>
          <w:p w14:paraId="343BE2DB" w14:textId="596A6315" w:rsidR="007A3871" w:rsidRPr="00187650" w:rsidRDefault="007A3871" w:rsidP="002650AE">
            <w:pPr>
              <w:spacing w:before="60" w:after="60"/>
            </w:pPr>
            <w:r w:rsidRPr="00187650">
              <w:t xml:space="preserve">Efficiency </w:t>
            </w:r>
            <w:r w:rsidR="00AA6698">
              <w:t>and</w:t>
            </w:r>
            <w:r w:rsidRPr="00187650">
              <w:t xml:space="preserve"> Effectiveness</w:t>
            </w:r>
          </w:p>
        </w:tc>
        <w:tc>
          <w:tcPr>
            <w:tcW w:w="7169" w:type="dxa"/>
            <w:vAlign w:val="center"/>
          </w:tcPr>
          <w:p w14:paraId="787AB057" w14:textId="61681171" w:rsidR="007A3871" w:rsidRPr="00187650" w:rsidRDefault="007A3871" w:rsidP="002650AE">
            <w:pPr>
              <w:spacing w:before="60" w:after="60"/>
            </w:pPr>
            <w:r w:rsidRPr="00187650">
              <w:t xml:space="preserve">Maximise use of community and </w:t>
            </w:r>
            <w:r w:rsidR="00AA6698">
              <w:t>C</w:t>
            </w:r>
            <w:r w:rsidRPr="00187650">
              <w:t>ouncil resources to achieve project goals.</w:t>
            </w:r>
          </w:p>
        </w:tc>
      </w:tr>
      <w:tr w:rsidR="007A3871" w:rsidRPr="00187650" w14:paraId="7975842C" w14:textId="77777777" w:rsidTr="008D31B1">
        <w:tc>
          <w:tcPr>
            <w:tcW w:w="2891" w:type="dxa"/>
          </w:tcPr>
          <w:p w14:paraId="4BC59CC2" w14:textId="77777777" w:rsidR="007A3871" w:rsidRPr="00187650" w:rsidRDefault="007A3871" w:rsidP="002650AE">
            <w:pPr>
              <w:spacing w:before="60" w:after="60"/>
            </w:pPr>
            <w:r w:rsidRPr="00187650">
              <w:t>Accountability</w:t>
            </w:r>
          </w:p>
        </w:tc>
        <w:tc>
          <w:tcPr>
            <w:tcW w:w="7169" w:type="dxa"/>
          </w:tcPr>
          <w:p w14:paraId="771B9D7C" w14:textId="77777777" w:rsidR="007A3871" w:rsidRPr="00187650" w:rsidRDefault="007A3871" w:rsidP="002650AE">
            <w:pPr>
              <w:spacing w:before="60" w:after="60"/>
            </w:pPr>
            <w:r w:rsidRPr="00187650">
              <w:t>Maintain transparent governance and reporting processes.</w:t>
            </w:r>
          </w:p>
        </w:tc>
      </w:tr>
      <w:tr w:rsidR="007A3871" w:rsidRPr="00187650" w14:paraId="7A67960C" w14:textId="77777777" w:rsidTr="008D31B1">
        <w:tc>
          <w:tcPr>
            <w:tcW w:w="2891" w:type="dxa"/>
          </w:tcPr>
          <w:p w14:paraId="2C5C7C01" w14:textId="77777777" w:rsidR="007A3871" w:rsidRPr="00187650" w:rsidRDefault="007A3871" w:rsidP="002650AE">
            <w:pPr>
              <w:spacing w:before="60" w:after="60"/>
            </w:pPr>
            <w:r w:rsidRPr="00187650">
              <w:t>Sustainability</w:t>
            </w:r>
          </w:p>
        </w:tc>
        <w:tc>
          <w:tcPr>
            <w:tcW w:w="7169" w:type="dxa"/>
          </w:tcPr>
          <w:p w14:paraId="730DFB1E" w14:textId="77777777" w:rsidR="007A3871" w:rsidRPr="00187650" w:rsidRDefault="007A3871" w:rsidP="002650AE">
            <w:pPr>
              <w:spacing w:before="60" w:after="60"/>
            </w:pPr>
            <w:r w:rsidRPr="00187650">
              <w:t>Model environmental, social and economic sustainable practice.</w:t>
            </w:r>
          </w:p>
        </w:tc>
      </w:tr>
    </w:tbl>
    <w:p w14:paraId="0B4118E3" w14:textId="2B2AA71F" w:rsidR="00E2023F" w:rsidRPr="007751B6" w:rsidRDefault="00E2023F" w:rsidP="00E2023F">
      <w:pPr>
        <w:pStyle w:val="Caption"/>
      </w:pPr>
      <w:r>
        <w:lastRenderedPageBreak/>
        <w:t xml:space="preserve">Table </w:t>
      </w:r>
      <w:r>
        <w:rPr>
          <w:i w:val="0"/>
          <w:iCs w:val="0"/>
        </w:rPr>
        <w:t>4</w:t>
      </w:r>
      <w:r>
        <w:t>:  Funding principles</w:t>
      </w:r>
    </w:p>
    <w:p w14:paraId="0A1F3F46" w14:textId="013A723B" w:rsidR="001E4D3D" w:rsidRPr="00A40843" w:rsidRDefault="000935FE" w:rsidP="00CD0BEE">
      <w:pPr>
        <w:pStyle w:val="Heading2"/>
        <w:rPr>
          <w:color w:val="auto"/>
        </w:rPr>
      </w:pPr>
      <w:bookmarkStart w:id="54" w:name="_Access_and_iInclusion"/>
      <w:bookmarkStart w:id="55" w:name="_Toc235521266"/>
      <w:bookmarkStart w:id="56" w:name="_Hlk158126813"/>
      <w:bookmarkStart w:id="57" w:name="_Hlk107491810"/>
      <w:bookmarkEnd w:id="53"/>
      <w:bookmarkEnd w:id="54"/>
      <w:r w:rsidRPr="00A40843">
        <w:rPr>
          <w:color w:val="auto"/>
        </w:rPr>
        <w:t>Inclusion, Diversity and Participation</w:t>
      </w:r>
      <w:bookmarkEnd w:id="55"/>
    </w:p>
    <w:p w14:paraId="51B0AEAD" w14:textId="77777777" w:rsidR="000935FE" w:rsidRPr="00A40843" w:rsidRDefault="000935FE" w:rsidP="000935FE">
      <w:pPr>
        <w:spacing w:before="100" w:beforeAutospacing="1" w:after="100" w:afterAutospacing="1" w:line="300" w:lineRule="atLeast"/>
        <w:rPr>
          <w:color w:val="auto"/>
        </w:rPr>
      </w:pPr>
      <w:r w:rsidRPr="00A40843">
        <w:rPr>
          <w:color w:val="auto"/>
        </w:rPr>
        <w:t>The Cultural Development Fund supports projects and events that reflect the diversity of our community and create opportunities for people to participate in, contribute to and experience arts, culture and community life.</w:t>
      </w:r>
    </w:p>
    <w:p w14:paraId="0229FB1E" w14:textId="77777777" w:rsidR="000935FE" w:rsidRPr="00A40843" w:rsidRDefault="000935FE" w:rsidP="000935FE">
      <w:pPr>
        <w:spacing w:before="100" w:beforeAutospacing="1" w:after="100" w:afterAutospacing="1" w:line="300" w:lineRule="atLeast"/>
        <w:rPr>
          <w:color w:val="auto"/>
        </w:rPr>
      </w:pPr>
      <w:r w:rsidRPr="00A40843">
        <w:rPr>
          <w:color w:val="auto"/>
        </w:rPr>
        <w:t>Projects may engage people with a broad range of identities, backgrounds, experiences and circumstances, including Aboriginal and Torres Strait Islander peoples, people from culturally and linguistically diverse backgrounds, people with disability, LGBTIQA+ people and communities, young people, older people, newly arrived migrants, refugees and people seeking asylum, and people who may experience barriers to participation related to accessibility, affordability, language, location or other circumstances.</w:t>
      </w:r>
    </w:p>
    <w:p w14:paraId="1F936054" w14:textId="77777777" w:rsidR="000935FE" w:rsidRPr="00A40843" w:rsidRDefault="000935FE" w:rsidP="000935FE">
      <w:pPr>
        <w:spacing w:before="100" w:beforeAutospacing="1" w:after="100" w:afterAutospacing="1" w:line="300" w:lineRule="atLeast"/>
        <w:rPr>
          <w:color w:val="auto"/>
        </w:rPr>
      </w:pPr>
      <w:r w:rsidRPr="00A40843">
        <w:rPr>
          <w:color w:val="auto"/>
        </w:rPr>
        <w:t>Council recognises that people have multiple and intersecting identities, experiences and connections to community. Applicants are encouraged to demonstrate how their event promotes access, participation, representation and belonging for a broad range of community members.</w:t>
      </w:r>
    </w:p>
    <w:p w14:paraId="28AD6BB4" w14:textId="6D08EAA9" w:rsidR="00453C26" w:rsidRDefault="54650D2C" w:rsidP="00CD0BEE">
      <w:pPr>
        <w:pStyle w:val="Heading2"/>
      </w:pPr>
      <w:bookmarkStart w:id="58" w:name="_Toc235521267"/>
      <w:r>
        <w:t xml:space="preserve">Access and </w:t>
      </w:r>
      <w:r w:rsidR="0DC6B42E">
        <w:t>i</w:t>
      </w:r>
      <w:r>
        <w:t>nclusion</w:t>
      </w:r>
      <w:bookmarkEnd w:id="58"/>
    </w:p>
    <w:p w14:paraId="0F55C03B" w14:textId="5FF891BB" w:rsidR="004426F6" w:rsidRDefault="00FD4F31" w:rsidP="00FD4F31">
      <w:pPr>
        <w:rPr>
          <w:color w:val="FF0000"/>
        </w:rPr>
      </w:pPr>
      <w:r w:rsidRPr="003D31EF">
        <w:t xml:space="preserve">Interpreters for Auslan and languages other than English are available upon request. If you have any access or support requirements to enable equitable participation in this program, please </w:t>
      </w:r>
      <w:r w:rsidR="004426F6" w:rsidRPr="00242FED">
        <w:t xml:space="preserve">contact the Grants </w:t>
      </w:r>
      <w:r w:rsidR="007A2FE8">
        <w:t>and</w:t>
      </w:r>
      <w:r w:rsidR="004426F6" w:rsidRPr="00242FED">
        <w:t xml:space="preserve"> Funding Officer on 03 9209 6777 or email </w:t>
      </w:r>
      <w:hyperlink r:id="rId28">
        <w:r w:rsidR="004426F6" w:rsidRPr="634383DA">
          <w:rPr>
            <w:rStyle w:val="Hyperlink"/>
          </w:rPr>
          <w:t>grants@portphillip.vic.gov.au</w:t>
        </w:r>
      </w:hyperlink>
      <w:r w:rsidR="004426F6">
        <w:rPr>
          <w:color w:val="FF0000"/>
        </w:rPr>
        <w:t xml:space="preserve"> </w:t>
      </w:r>
    </w:p>
    <w:p w14:paraId="054E9799" w14:textId="11EF7F51" w:rsidR="4B5536AE" w:rsidRDefault="4B5536AE" w:rsidP="634383DA">
      <w:pPr>
        <w:rPr>
          <w:color w:val="auto"/>
        </w:rPr>
      </w:pPr>
      <w:r w:rsidRPr="634383DA">
        <w:rPr>
          <w:color w:val="auto"/>
        </w:rPr>
        <w:t>A printed version of the</w:t>
      </w:r>
      <w:r w:rsidR="2EE239AA" w:rsidRPr="634383DA">
        <w:rPr>
          <w:color w:val="auto"/>
        </w:rPr>
        <w:t>se</w:t>
      </w:r>
      <w:r w:rsidRPr="634383DA">
        <w:rPr>
          <w:color w:val="auto"/>
        </w:rPr>
        <w:t xml:space="preserve"> Guidelines</w:t>
      </w:r>
      <w:r w:rsidR="2F289203" w:rsidRPr="634383DA">
        <w:rPr>
          <w:color w:val="auto"/>
        </w:rPr>
        <w:t xml:space="preserve"> is available on request</w:t>
      </w:r>
      <w:r w:rsidR="29E686E1" w:rsidRPr="634383DA">
        <w:rPr>
          <w:color w:val="auto"/>
        </w:rPr>
        <w:t>.</w:t>
      </w:r>
    </w:p>
    <w:p w14:paraId="52E57ED0" w14:textId="7A63CC1C" w:rsidR="00421952" w:rsidRPr="00CB3AC8" w:rsidRDefault="00421952" w:rsidP="00421952">
      <w:pPr>
        <w:pStyle w:val="BodyText"/>
        <w:rPr>
          <w:sz w:val="24"/>
          <w:szCs w:val="24"/>
        </w:rPr>
      </w:pPr>
      <w:r w:rsidRPr="00CB3AC8">
        <w:rPr>
          <w:sz w:val="24"/>
          <w:szCs w:val="24"/>
        </w:rPr>
        <w:t>The City of Port Phillip is committed to equitable participation and engagement to its services and programs.</w:t>
      </w:r>
    </w:p>
    <w:p w14:paraId="624F0130" w14:textId="619A575D" w:rsidR="00EC07DF" w:rsidRDefault="004426F6" w:rsidP="00041E16">
      <w:r>
        <w:t xml:space="preserve">Council has also provided an </w:t>
      </w:r>
      <w:hyperlink r:id="rId29">
        <w:r w:rsidRPr="777423D5">
          <w:rPr>
            <w:rStyle w:val="Hyperlink"/>
            <w:rFonts w:eastAsia="Arial"/>
          </w:rPr>
          <w:t>Accessibility and Disability Inclusion Fact Sheet</w:t>
        </w:r>
      </w:hyperlink>
      <w:r w:rsidR="006265E4">
        <w:rPr>
          <w:rStyle w:val="FootnoteReference"/>
          <w:color w:val="0563C1" w:themeColor="hyperlink"/>
          <w:u w:val="single"/>
        </w:rPr>
        <w:footnoteReference w:id="3"/>
      </w:r>
      <w:r>
        <w:rPr>
          <w:rStyle w:val="Hyperlink"/>
        </w:rPr>
        <w:t xml:space="preserve"> </w:t>
      </w:r>
      <w:r>
        <w:t xml:space="preserve">to support applicants </w:t>
      </w:r>
      <w:r w:rsidR="00743905">
        <w:t xml:space="preserve">in </w:t>
      </w:r>
      <w:r>
        <w:t>ensur</w:t>
      </w:r>
      <w:r w:rsidR="00743905">
        <w:t>ing</w:t>
      </w:r>
      <w:r>
        <w:t xml:space="preserve"> that their projects are inclusive for all participants</w:t>
      </w:r>
      <w:bookmarkStart w:id="59" w:name="_Toc30506391"/>
      <w:bookmarkEnd w:id="56"/>
      <w:bookmarkEnd w:id="57"/>
      <w:r w:rsidR="00236366">
        <w:t>.</w:t>
      </w:r>
    </w:p>
    <w:p w14:paraId="51434535" w14:textId="77777777" w:rsidR="00290494" w:rsidRPr="00C745B0" w:rsidRDefault="16C248CC" w:rsidP="00290494">
      <w:pPr>
        <w:pStyle w:val="Heading2"/>
      </w:pPr>
      <w:bookmarkStart w:id="60" w:name="_LGBTIQA+"/>
      <w:bookmarkStart w:id="61" w:name="_Toc231466788"/>
      <w:bookmarkStart w:id="62" w:name="_Toc235521268"/>
      <w:bookmarkStart w:id="63" w:name="_Hlk234842030"/>
      <w:bookmarkEnd w:id="59"/>
      <w:bookmarkEnd w:id="60"/>
      <w:r>
        <w:t>Ensuring a Child Safe City of Port Phillip</w:t>
      </w:r>
      <w:bookmarkEnd w:id="61"/>
      <w:bookmarkEnd w:id="62"/>
    </w:p>
    <w:p w14:paraId="1CC2EBC1" w14:textId="77777777" w:rsidR="00290494" w:rsidRDefault="00290494" w:rsidP="00290494">
      <w:pPr>
        <w:jc w:val="both"/>
      </w:pPr>
      <w:r>
        <w:t xml:space="preserve">The City of Port Phillip has zero tolerance for child abuse. We are a committed </w:t>
      </w:r>
      <w:hyperlink r:id="rId30" w:history="1">
        <w:r w:rsidRPr="001D287E">
          <w:rPr>
            <w:rStyle w:val="Hyperlink"/>
          </w:rPr>
          <w:t>Child Safe organisation</w:t>
        </w:r>
      </w:hyperlink>
      <w:r>
        <w:t xml:space="preserve">, ensuring that a culture of child safety is embedded into our practices and processes. Every child accessing Council services has the right to feel and be safe. This City embraces diversity and inclusion. Children of all age, gender, race, religion, disability, </w:t>
      </w:r>
      <w:r>
        <w:lastRenderedPageBreak/>
        <w:t xml:space="preserve">sexual orientation, family background and social background have equal rights to protection from abuse. All City of Port Phillip Councillors, employees, volunteers, contractors and community representatives must understand and act to prevent, detect, respond to and report any suspicions of child abuse, and maintain a child safe culture. </w:t>
      </w:r>
    </w:p>
    <w:p w14:paraId="7CDB1B5C" w14:textId="77777777" w:rsidR="00290494" w:rsidRPr="00F37426" w:rsidRDefault="00290494" w:rsidP="00290494">
      <w:pPr>
        <w:jc w:val="both"/>
        <w:rPr>
          <w:rStyle w:val="Hyperlink"/>
        </w:rPr>
      </w:pPr>
      <w:r>
        <w:t xml:space="preserve">Grant projects and activities that work directly with children and young people are required to </w:t>
      </w:r>
      <w:r w:rsidRPr="000B1743">
        <w:t xml:space="preserve">comply with legislation and regulations relating to child safety including, but not limited to, the </w:t>
      </w:r>
      <w:r w:rsidRPr="005C24A0">
        <w:rPr>
          <w:i/>
        </w:rPr>
        <w:t>Working with Children Act 2005</w:t>
      </w:r>
      <w:r w:rsidRPr="000B1743">
        <w:t xml:space="preserve"> and the Working with Children Regulations 2016 and the </w:t>
      </w:r>
      <w:r w:rsidRPr="00F37426">
        <w:fldChar w:fldCharType="begin"/>
      </w:r>
      <w:r>
        <w:instrText>HYPERLINK "https://www.vic.gov.au/child-safe-standards"</w:instrText>
      </w:r>
      <w:r w:rsidRPr="00F37426">
        <w:fldChar w:fldCharType="separate"/>
      </w:r>
      <w:r w:rsidRPr="00F37426">
        <w:rPr>
          <w:rStyle w:val="Hyperlink"/>
        </w:rPr>
        <w:t>Victorian Child Safe Standards (CSS)</w:t>
      </w:r>
      <w:r>
        <w:rPr>
          <w:rStyle w:val="Hyperlink"/>
        </w:rPr>
        <w:t>.</w:t>
      </w:r>
    </w:p>
    <w:p w14:paraId="7CB586DD" w14:textId="77777777" w:rsidR="00290494" w:rsidRDefault="00290494" w:rsidP="00290494">
      <w:pPr>
        <w:jc w:val="both"/>
        <w:rPr>
          <w:rStyle w:val="Hyperlink"/>
          <w:color w:val="000000" w:themeColor="text1"/>
          <w:u w:val="none"/>
        </w:rPr>
      </w:pPr>
      <w:r w:rsidRPr="00F37426">
        <w:fldChar w:fldCharType="end"/>
      </w:r>
      <w:r w:rsidRPr="000B1743">
        <w:rPr>
          <w:rStyle w:val="Hyperlink"/>
          <w:color w:val="000000" w:themeColor="text1"/>
          <w:u w:val="none"/>
        </w:rPr>
        <w:t xml:space="preserve">Successful applicants may be required to provide evidence of complying with Victorian Child Safe Standards by completing a declaration and providing copies of Working </w:t>
      </w:r>
      <w:proofErr w:type="gramStart"/>
      <w:r w:rsidRPr="000B1743">
        <w:rPr>
          <w:rStyle w:val="Hyperlink"/>
          <w:color w:val="000000" w:themeColor="text1"/>
          <w:u w:val="none"/>
        </w:rPr>
        <w:t>With</w:t>
      </w:r>
      <w:proofErr w:type="gramEnd"/>
      <w:r w:rsidRPr="000B1743">
        <w:rPr>
          <w:rStyle w:val="Hyperlink"/>
          <w:color w:val="000000" w:themeColor="text1"/>
          <w:u w:val="none"/>
        </w:rPr>
        <w:t xml:space="preserve"> Children Checks.</w:t>
      </w:r>
    </w:p>
    <w:p w14:paraId="6FDF241B" w14:textId="77777777" w:rsidR="00290494" w:rsidRDefault="16C248CC" w:rsidP="00290494">
      <w:pPr>
        <w:pStyle w:val="Heading2"/>
      </w:pPr>
      <w:bookmarkStart w:id="64" w:name="_Toc231466791"/>
      <w:bookmarkStart w:id="65" w:name="_Toc235521269"/>
      <w:r>
        <w:t>Victorian Government Values Statement</w:t>
      </w:r>
      <w:bookmarkEnd w:id="64"/>
      <w:bookmarkEnd w:id="65"/>
    </w:p>
    <w:p w14:paraId="5E7907F5" w14:textId="77777777" w:rsidR="00290494" w:rsidRPr="00A40843" w:rsidRDefault="00290494" w:rsidP="00290494">
      <w:pPr>
        <w:rPr>
          <w:color w:val="auto"/>
        </w:rPr>
      </w:pPr>
      <w:r w:rsidRPr="00A40843">
        <w:rPr>
          <w:color w:val="auto"/>
        </w:rPr>
        <w:t>Funded organisations are required to uphold the Victorian Government values and the Commitment to Social Cohesion, when delivering their funded projects.</w:t>
      </w:r>
    </w:p>
    <w:p w14:paraId="7F825A96" w14:textId="08F6C3DE" w:rsidR="00290494" w:rsidRPr="00A40843" w:rsidRDefault="00290494" w:rsidP="00290494">
      <w:pPr>
        <w:rPr>
          <w:rStyle w:val="Hyperlink"/>
          <w:color w:val="auto"/>
          <w:u w:val="none"/>
        </w:rPr>
      </w:pPr>
      <w:r w:rsidRPr="00A40843">
        <w:rPr>
          <w:color w:val="auto"/>
        </w:rPr>
        <w:t xml:space="preserve">Further information can be found online: </w:t>
      </w:r>
      <w:hyperlink r:id="rId31" w:history="1">
        <w:r w:rsidRPr="00A40843">
          <w:rPr>
            <w:rStyle w:val="Hyperlink"/>
            <w:color w:val="auto"/>
          </w:rPr>
          <w:t>Victorian Government Values Statement | vic.gov.au</w:t>
        </w:r>
      </w:hyperlink>
      <w:r w:rsidR="006C72CD" w:rsidRPr="00A40843">
        <w:rPr>
          <w:color w:val="auto"/>
        </w:rPr>
        <w:t>.</w:t>
      </w:r>
    </w:p>
    <w:p w14:paraId="0C50477E" w14:textId="35090DD4" w:rsidR="00290494" w:rsidRPr="00290494" w:rsidRDefault="2E79E560" w:rsidP="00290494">
      <w:pPr>
        <w:pStyle w:val="Heading2"/>
      </w:pPr>
      <w:bookmarkStart w:id="66" w:name="_Toc235521270"/>
      <w:bookmarkEnd w:id="63"/>
      <w:r>
        <w:t>LGBTIQ</w:t>
      </w:r>
      <w:r w:rsidR="55E584CA">
        <w:t>A</w:t>
      </w:r>
      <w:r w:rsidR="23024B37">
        <w:t>+</w:t>
      </w:r>
      <w:bookmarkEnd w:id="66"/>
    </w:p>
    <w:p w14:paraId="7F6DD75C" w14:textId="7DC4C23C" w:rsidR="00290494" w:rsidRPr="00511457" w:rsidRDefault="00290494" w:rsidP="00290494">
      <w:pPr>
        <w:jc w:val="both"/>
      </w:pPr>
      <w:r w:rsidRPr="00511457">
        <w:t>Council prides itself on being welcoming and sensitive to the needs of people who identify as lesbian, gay, bisexual, trans</w:t>
      </w:r>
      <w:r>
        <w:t xml:space="preserve">, </w:t>
      </w:r>
      <w:r w:rsidRPr="00511457">
        <w:t>gender diverse, intersex, queer and asexual (LGBTIQA+).</w:t>
      </w:r>
    </w:p>
    <w:p w14:paraId="33EBEC91" w14:textId="77777777" w:rsidR="00290494" w:rsidRPr="00511457" w:rsidRDefault="00290494" w:rsidP="00290494">
      <w:pPr>
        <w:jc w:val="both"/>
      </w:pPr>
      <w:r w:rsidRPr="00511457">
        <w:t>Council works hard to ensure our community is inclusive and we are committed to promoting a fair, just and tolerant community.</w:t>
      </w:r>
    </w:p>
    <w:p w14:paraId="77069504" w14:textId="7CDF5229" w:rsidR="009A0BE9" w:rsidRPr="009A0BE9" w:rsidRDefault="00290494" w:rsidP="00290494">
      <w:r>
        <w:t>Applicants are encouraged to consider how they can ensure events are safe, welcoming and inclusive of LGBTQIA+ community</w:t>
      </w:r>
      <w:r w:rsidR="000A7F99" w:rsidRPr="00511457">
        <w:t>.</w:t>
      </w:r>
    </w:p>
    <w:p w14:paraId="2B23E15A" w14:textId="4BBB8ECA" w:rsidR="00453C26" w:rsidRDefault="54650D2C" w:rsidP="00CD0BEE">
      <w:pPr>
        <w:pStyle w:val="Heading2"/>
      </w:pPr>
      <w:bookmarkStart w:id="67" w:name="_Sustainability"/>
      <w:bookmarkStart w:id="68" w:name="_Toc235521271"/>
      <w:bookmarkEnd w:id="67"/>
      <w:r>
        <w:t>Sustainability</w:t>
      </w:r>
      <w:bookmarkEnd w:id="68"/>
    </w:p>
    <w:p w14:paraId="426C927E" w14:textId="553972E2" w:rsidR="00FD4F31" w:rsidRPr="000A267B" w:rsidRDefault="00FD4F31" w:rsidP="00FD4F31">
      <w:pPr>
        <w:rPr>
          <w:i/>
          <w:iCs/>
        </w:rPr>
      </w:pPr>
      <w:r>
        <w:t xml:space="preserve">The City of Port Phillip has committed to improving sustainability and reducing waste </w:t>
      </w:r>
      <w:r w:rsidRPr="007A232E">
        <w:t xml:space="preserve">through its strategies, </w:t>
      </w:r>
      <w:hyperlink r:id="rId32">
        <w:r w:rsidRPr="634383DA">
          <w:rPr>
            <w:rStyle w:val="Hyperlink"/>
          </w:rPr>
          <w:t>Act and Adapt</w:t>
        </w:r>
        <w:r w:rsidR="007A232E" w:rsidRPr="634383DA">
          <w:rPr>
            <w:rStyle w:val="Hyperlink"/>
          </w:rPr>
          <w:t xml:space="preserve"> – Sustainable </w:t>
        </w:r>
        <w:r w:rsidR="0010250E" w:rsidRPr="634383DA">
          <w:rPr>
            <w:rStyle w:val="Hyperlink"/>
          </w:rPr>
          <w:t>Environment</w:t>
        </w:r>
        <w:r w:rsidR="007A232E" w:rsidRPr="634383DA">
          <w:rPr>
            <w:rStyle w:val="Hyperlink"/>
          </w:rPr>
          <w:t xml:space="preserve"> Strategy 20</w:t>
        </w:r>
        <w:r w:rsidR="06C17E40" w:rsidRPr="634383DA">
          <w:rPr>
            <w:rStyle w:val="Hyperlink"/>
          </w:rPr>
          <w:t>23</w:t>
        </w:r>
        <w:r w:rsidR="1338F2F1" w:rsidRPr="634383DA">
          <w:rPr>
            <w:rStyle w:val="Hyperlink"/>
          </w:rPr>
          <w:t xml:space="preserve"> </w:t>
        </w:r>
        <w:r w:rsidR="007A232E" w:rsidRPr="634383DA">
          <w:rPr>
            <w:rStyle w:val="Hyperlink"/>
          </w:rPr>
          <w:t>-</w:t>
        </w:r>
        <w:r w:rsidR="7EA17FB3" w:rsidRPr="634383DA">
          <w:rPr>
            <w:rStyle w:val="Hyperlink"/>
          </w:rPr>
          <w:t xml:space="preserve"> 20</w:t>
        </w:r>
        <w:r w:rsidR="007A232E" w:rsidRPr="634383DA">
          <w:rPr>
            <w:rStyle w:val="Hyperlink"/>
          </w:rPr>
          <w:t>28</w:t>
        </w:r>
      </w:hyperlink>
      <w:r w:rsidRPr="007A232E">
        <w:rPr>
          <w:i/>
          <w:iCs/>
        </w:rPr>
        <w:t xml:space="preserve"> </w:t>
      </w:r>
      <w:r w:rsidRPr="007A232E">
        <w:t xml:space="preserve">Applicants are advised to </w:t>
      </w:r>
      <w:r w:rsidRPr="007A232E">
        <w:rPr>
          <w:bCs/>
        </w:rPr>
        <w:t>avoid</w:t>
      </w:r>
      <w:r>
        <w:t>:</w:t>
      </w:r>
    </w:p>
    <w:p w14:paraId="5A3CCD7B" w14:textId="1F3FC24F" w:rsidR="00FD4F31" w:rsidRPr="00FD4F31" w:rsidRDefault="00CB53A3" w:rsidP="004B203B">
      <w:pPr>
        <w:pStyle w:val="ListParagraph"/>
      </w:pPr>
      <w:r>
        <w:t>b</w:t>
      </w:r>
      <w:r w:rsidR="00FD4F31" w:rsidRPr="00FD4F31">
        <w:t>alloons</w:t>
      </w:r>
    </w:p>
    <w:p w14:paraId="69A3BC20" w14:textId="6C0E21C5" w:rsidR="00FD4F31" w:rsidRPr="00FD4F31" w:rsidRDefault="00CB53A3" w:rsidP="004B203B">
      <w:pPr>
        <w:pStyle w:val="ListParagraph"/>
      </w:pPr>
      <w:r>
        <w:t>s</w:t>
      </w:r>
      <w:r w:rsidR="00FD4F31" w:rsidRPr="00FD4F31">
        <w:t>ingle use plastic bags and straws</w:t>
      </w:r>
    </w:p>
    <w:p w14:paraId="49750CAA" w14:textId="753270EF" w:rsidR="00FD4F31" w:rsidRPr="00FD4F31" w:rsidRDefault="00CB53A3" w:rsidP="004B203B">
      <w:pPr>
        <w:pStyle w:val="ListParagraph"/>
      </w:pPr>
      <w:r>
        <w:t>s</w:t>
      </w:r>
      <w:r w:rsidR="00FD4F31" w:rsidRPr="00FD4F31">
        <w:t>ingle use crockery and cutlery that cannot be recycled</w:t>
      </w:r>
    </w:p>
    <w:p w14:paraId="2A73A4F5" w14:textId="2B237018" w:rsidR="00FD4F31" w:rsidRDefault="00FD4F31" w:rsidP="00FD4F31">
      <w:r>
        <w:t>Applicants are encouraged to consider how they can reduce their impact on the environment by:</w:t>
      </w:r>
    </w:p>
    <w:p w14:paraId="318C249F" w14:textId="09901885" w:rsidR="00FD4F31" w:rsidRPr="00FD4F31" w:rsidRDefault="00A45F4F" w:rsidP="004B203B">
      <w:pPr>
        <w:pStyle w:val="ListParagraph"/>
      </w:pPr>
      <w:r>
        <w:lastRenderedPageBreak/>
        <w:t>a</w:t>
      </w:r>
      <w:r w:rsidR="00FD4F31" w:rsidRPr="00FD4F31">
        <w:t>voiding the use of disposable decorations</w:t>
      </w:r>
    </w:p>
    <w:p w14:paraId="6865A487" w14:textId="78096AF3" w:rsidR="00FD4F31" w:rsidRPr="00FD4F31" w:rsidRDefault="00A45F4F" w:rsidP="004B203B">
      <w:pPr>
        <w:pStyle w:val="ListParagraph"/>
      </w:pPr>
      <w:r>
        <w:t>r</w:t>
      </w:r>
      <w:r w:rsidR="00FD4F31" w:rsidRPr="00FD4F31">
        <w:t>educing power consumption</w:t>
      </w:r>
    </w:p>
    <w:p w14:paraId="1E65B4CC" w14:textId="16E8A54D" w:rsidR="00FD4F31" w:rsidRPr="00FD4F31" w:rsidRDefault="006B575F" w:rsidP="004B203B">
      <w:pPr>
        <w:pStyle w:val="ListParagraph"/>
      </w:pPr>
      <w:r>
        <w:t>u</w:t>
      </w:r>
      <w:r w:rsidR="00FD4F31" w:rsidRPr="00FD4F31">
        <w:t>sing e-ticketing</w:t>
      </w:r>
    </w:p>
    <w:p w14:paraId="3ED5C336" w14:textId="761A32DE" w:rsidR="00FD4F31" w:rsidRPr="00FD4F31" w:rsidRDefault="006B575F" w:rsidP="004B203B">
      <w:pPr>
        <w:pStyle w:val="ListParagraph"/>
      </w:pPr>
      <w:r>
        <w:t>p</w:t>
      </w:r>
      <w:r w:rsidR="00FD4F31" w:rsidRPr="00FD4F31">
        <w:t>romoting public transport, walking and cycling</w:t>
      </w:r>
    </w:p>
    <w:p w14:paraId="29AEC4F0" w14:textId="661E5BD1" w:rsidR="00FD4F31" w:rsidRPr="00FD4F31" w:rsidRDefault="006B575F" w:rsidP="004B203B">
      <w:pPr>
        <w:pStyle w:val="ListParagraph"/>
      </w:pPr>
      <w:r>
        <w:t>s</w:t>
      </w:r>
      <w:r w:rsidR="00FD4F31" w:rsidRPr="00FD4F31">
        <w:t>haring resources with other organisations or project supporters</w:t>
      </w:r>
    </w:p>
    <w:p w14:paraId="30C5E841" w14:textId="35B553CB" w:rsidR="00FD4F31" w:rsidRPr="00FD4F31" w:rsidRDefault="006B575F" w:rsidP="004B203B">
      <w:pPr>
        <w:pStyle w:val="ListParagraph"/>
      </w:pPr>
      <w:r>
        <w:t>w</w:t>
      </w:r>
      <w:r w:rsidR="00FD4F31" w:rsidRPr="00FD4F31">
        <w:t>ashing crockery and cutlery rather than using disposable items</w:t>
      </w:r>
    </w:p>
    <w:p w14:paraId="336BE0E1" w14:textId="085C57AF" w:rsidR="00FD4F31" w:rsidRPr="00FD4F31" w:rsidRDefault="006B575F" w:rsidP="004B203B">
      <w:pPr>
        <w:pStyle w:val="ListParagraph"/>
      </w:pPr>
      <w:r>
        <w:t>e</w:t>
      </w:r>
      <w:r w:rsidR="00FD4F31" w:rsidRPr="00FD4F31">
        <w:t>ncouraging reusable coffee cups</w:t>
      </w:r>
    </w:p>
    <w:p w14:paraId="4C9ED45B" w14:textId="599C8C3F" w:rsidR="00FD4F31" w:rsidRPr="00FD4F31" w:rsidRDefault="006B575F" w:rsidP="004B203B">
      <w:pPr>
        <w:pStyle w:val="ListParagraph"/>
      </w:pPr>
      <w:r>
        <w:t>p</w:t>
      </w:r>
      <w:r w:rsidR="00FD4F31" w:rsidRPr="00FD4F31">
        <w:t>roviding drinking water to reduce the use of plastic bottles</w:t>
      </w:r>
    </w:p>
    <w:p w14:paraId="04457EE1" w14:textId="65BD2526" w:rsidR="00FD4F31" w:rsidRPr="00FD4F31" w:rsidRDefault="006B575F" w:rsidP="004B203B">
      <w:pPr>
        <w:pStyle w:val="ListParagraph"/>
      </w:pPr>
      <w:r>
        <w:t>c</w:t>
      </w:r>
      <w:r w:rsidR="00FD4F31" w:rsidRPr="00FD4F31">
        <w:t>omposting organic waste</w:t>
      </w:r>
      <w:r w:rsidR="00C71F27">
        <w:t>.</w:t>
      </w:r>
    </w:p>
    <w:p w14:paraId="09A50D67" w14:textId="2FF582D0" w:rsidR="003F5D33" w:rsidRDefault="003F5D33" w:rsidP="000331DE">
      <w:bookmarkStart w:id="69" w:name="_Hlk159228392"/>
      <w:r>
        <w:t xml:space="preserve">For advice about making your event more sustainable, contact Council on 9209 6777 or </w:t>
      </w:r>
      <w:hyperlink r:id="rId33" w:history="1">
        <w:r w:rsidRPr="00444D68">
          <w:rPr>
            <w:rStyle w:val="Hyperlink"/>
          </w:rPr>
          <w:t>enviro@portphillip.vic.gov.au</w:t>
        </w:r>
      </w:hyperlink>
      <w:r>
        <w:t xml:space="preserve"> </w:t>
      </w:r>
    </w:p>
    <w:p w14:paraId="7E111C75" w14:textId="37D6E406" w:rsidR="00453C26" w:rsidRDefault="54650D2C" w:rsidP="00CD0BEE">
      <w:pPr>
        <w:pStyle w:val="Heading2"/>
      </w:pPr>
      <w:bookmarkStart w:id="70" w:name="_Toc235521272"/>
      <w:bookmarkStart w:id="71" w:name="_Hlk158127458"/>
      <w:bookmarkEnd w:id="69"/>
      <w:r>
        <w:t>Lobbyin</w:t>
      </w:r>
      <w:r w:rsidR="1618CD24">
        <w:t>g</w:t>
      </w:r>
      <w:bookmarkEnd w:id="70"/>
    </w:p>
    <w:p w14:paraId="100CFE5C" w14:textId="79F06CAA" w:rsidR="00F957EA" w:rsidRDefault="00F957EA" w:rsidP="00F957EA">
      <w:r w:rsidRPr="003D31EF">
        <w:t>Canvassing or lobbying of councillors, employees of the City of Port Phillip or assessment panel members in relation to any grant, subsidy and sponsorship applications is prohibited</w:t>
      </w:r>
      <w:bookmarkEnd w:id="71"/>
      <w:r w:rsidRPr="003D31EF">
        <w:t>.</w:t>
      </w:r>
    </w:p>
    <w:p w14:paraId="741BE003" w14:textId="77777777" w:rsidR="008666B5" w:rsidRDefault="07AF1272" w:rsidP="00CD0BEE">
      <w:pPr>
        <w:pStyle w:val="Heading2"/>
      </w:pPr>
      <w:bookmarkStart w:id="72" w:name="_Toc76044705"/>
      <w:bookmarkStart w:id="73" w:name="_Toc235521273"/>
      <w:r>
        <w:t>More information</w:t>
      </w:r>
      <w:bookmarkEnd w:id="72"/>
      <w:bookmarkEnd w:id="73"/>
      <w:r>
        <w:t xml:space="preserve"> </w:t>
      </w:r>
    </w:p>
    <w:p w14:paraId="22B3C51F" w14:textId="7A67386F" w:rsidR="00257AFA" w:rsidRDefault="008666B5" w:rsidP="001E1BC6">
      <w:pPr>
        <w:rPr>
          <w:b/>
          <w:color w:val="005467"/>
          <w:sz w:val="36"/>
          <w:szCs w:val="32"/>
        </w:rPr>
      </w:pPr>
      <w:r w:rsidRPr="00511457">
        <w:t xml:space="preserve">The City of Port Phillip is committed to providing equitable participation and engagement. If you have any accessibility or support requirements to complete your grant application, please contact the Grants and Funding Officer, phone: 03 9209 6777 or email: </w:t>
      </w:r>
      <w:hyperlink r:id="rId34" w:history="1">
        <w:r w:rsidRPr="00511457">
          <w:rPr>
            <w:rStyle w:val="Hyperlink"/>
          </w:rPr>
          <w:t>grants@portphillip.vic.gov.au</w:t>
        </w:r>
      </w:hyperlink>
      <w:bookmarkStart w:id="74" w:name="_Toc76044706"/>
    </w:p>
    <w:p w14:paraId="03C39EDB" w14:textId="3B2CCF56" w:rsidR="008D31B1" w:rsidRPr="00D32532" w:rsidRDefault="4CC2C267" w:rsidP="00CD0BEE">
      <w:pPr>
        <w:pStyle w:val="Heading2"/>
        <w:rPr>
          <w:noProof/>
          <w:color w:val="474137"/>
        </w:rPr>
      </w:pPr>
      <w:bookmarkStart w:id="75" w:name="_Toc235521274"/>
      <w:r>
        <w:t>Checklist: Preparing your grant application</w:t>
      </w:r>
      <w:bookmarkEnd w:id="74"/>
      <w:bookmarkEnd w:id="75"/>
    </w:p>
    <w:tbl>
      <w:tblPr>
        <w:tblW w:w="9639" w:type="dxa"/>
        <w:tblInd w:w="-5" w:type="dxa"/>
        <w:tblLayout w:type="fixed"/>
        <w:tblCellMar>
          <w:left w:w="0" w:type="dxa"/>
          <w:right w:w="0" w:type="dxa"/>
        </w:tblCellMar>
        <w:tblLook w:val="04A0" w:firstRow="1" w:lastRow="0" w:firstColumn="1" w:lastColumn="0" w:noHBand="0" w:noVBand="1"/>
      </w:tblPr>
      <w:tblGrid>
        <w:gridCol w:w="5103"/>
        <w:gridCol w:w="4536"/>
      </w:tblGrid>
      <w:tr w:rsidR="00B82247" w14:paraId="6089FA09" w14:textId="77777777" w:rsidTr="69640E21">
        <w:trPr>
          <w:trHeight w:val="54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128AF2D8" w14:textId="77777777" w:rsidR="00B82247" w:rsidRPr="00FE1B85" w:rsidRDefault="00B82247" w:rsidP="00FE1B85">
            <w:pPr>
              <w:pStyle w:val="TableParagraph"/>
              <w:kinsoku w:val="0"/>
              <w:overflowPunct w:val="0"/>
              <w:spacing w:before="2" w:line="276" w:lineRule="auto"/>
              <w:ind w:left="110"/>
              <w:rPr>
                <w:b/>
                <w:bCs/>
                <w:lang w:eastAsia="en-US"/>
              </w:rPr>
            </w:pPr>
            <w:bookmarkStart w:id="76" w:name="_Hlk159230012"/>
            <w:r w:rsidRPr="00FE1B85">
              <w:rPr>
                <w:b/>
                <w:bCs/>
                <w:lang w:eastAsia="en-US"/>
              </w:rPr>
              <w:t>Task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7931498" w14:textId="1106FED6" w:rsidR="00B82247" w:rsidRPr="00FE1B85" w:rsidRDefault="00B82247" w:rsidP="00FE1B85">
            <w:pPr>
              <w:pStyle w:val="TableParagraph"/>
              <w:kinsoku w:val="0"/>
              <w:overflowPunct w:val="0"/>
              <w:spacing w:before="2" w:line="276" w:lineRule="auto"/>
              <w:rPr>
                <w:b/>
                <w:bCs/>
                <w:lang w:eastAsia="en-US"/>
              </w:rPr>
            </w:pPr>
            <w:r w:rsidRPr="00FE1B85">
              <w:rPr>
                <w:b/>
                <w:bCs/>
                <w:lang w:eastAsia="en-US"/>
              </w:rPr>
              <w:t>Useful information and references</w:t>
            </w:r>
          </w:p>
        </w:tc>
      </w:tr>
      <w:tr w:rsidR="00B82247" w14:paraId="36E80D11" w14:textId="77777777" w:rsidTr="69640E21">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1DFD" w14:textId="77777777" w:rsidR="00B82247" w:rsidRPr="009B1343" w:rsidRDefault="00B82247" w:rsidP="00FE1B85">
            <w:pPr>
              <w:pStyle w:val="TABLENORMAL0"/>
              <w:spacing w:line="276" w:lineRule="auto"/>
              <w:ind w:left="110"/>
              <w:rPr>
                <w:sz w:val="24"/>
                <w:szCs w:val="24"/>
              </w:rPr>
            </w:pPr>
            <w:r w:rsidRPr="009B1343">
              <w:rPr>
                <w:sz w:val="24"/>
                <w:szCs w:val="24"/>
              </w:rPr>
              <w:t xml:space="preserve">Successfully acquit all previous grants from the City of Port Phillip. </w:t>
            </w:r>
          </w:p>
          <w:p w14:paraId="3E6D29E8" w14:textId="72C76139" w:rsidR="00B82247" w:rsidRPr="009B1343" w:rsidRDefault="00B82247" w:rsidP="00FE1B85">
            <w:pPr>
              <w:pStyle w:val="TABLENORMAL0"/>
              <w:spacing w:line="276" w:lineRule="auto"/>
              <w:ind w:left="110"/>
              <w:rPr>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D8F8E" w14:textId="581B913A" w:rsidR="00B82247" w:rsidRPr="00FE1B85" w:rsidRDefault="00B82247" w:rsidP="00FE1B85">
            <w:pPr>
              <w:pStyle w:val="TableParagraph"/>
              <w:kinsoku w:val="0"/>
              <w:overflowPunct w:val="0"/>
              <w:spacing w:before="120" w:after="120" w:line="276" w:lineRule="auto"/>
              <w:rPr>
                <w:b/>
                <w:bCs/>
              </w:rPr>
            </w:pPr>
            <w:r w:rsidRPr="009B1343">
              <w:t>This includes either a Project Status Report or an Acquittal Report (if project is complete)</w:t>
            </w:r>
            <w:r w:rsidR="00A22D80">
              <w:t xml:space="preserve"> for </w:t>
            </w:r>
            <w:r w:rsidR="00DF34C0">
              <w:t xml:space="preserve">the previous year’s </w:t>
            </w:r>
            <w:r w:rsidR="00C96552">
              <w:t>Cultural Development Fund: Festivals and Events Grants</w:t>
            </w:r>
            <w:r w:rsidR="00DF34C0">
              <w:t xml:space="preserve"> </w:t>
            </w:r>
          </w:p>
          <w:p w14:paraId="40A93877" w14:textId="136C5B02" w:rsidR="00B82247" w:rsidRPr="009B1343" w:rsidRDefault="00B82247" w:rsidP="00FE1B85">
            <w:pPr>
              <w:pStyle w:val="TableParagraph"/>
              <w:kinsoku w:val="0"/>
              <w:overflowPunct w:val="0"/>
              <w:spacing w:before="120" w:after="120" w:line="276" w:lineRule="auto"/>
              <w:rPr>
                <w:lang w:eastAsia="en-US"/>
              </w:rPr>
            </w:pPr>
            <w:r w:rsidRPr="009B1343">
              <w:t xml:space="preserve">Council will consider </w:t>
            </w:r>
            <w:r w:rsidR="008F0D9B">
              <w:t xml:space="preserve">an </w:t>
            </w:r>
            <w:r w:rsidRPr="009B1343">
              <w:t>applicant</w:t>
            </w:r>
            <w:r w:rsidR="008F0D9B">
              <w:t>’</w:t>
            </w:r>
            <w:r w:rsidRPr="009B1343">
              <w:t xml:space="preserve">s previous compliance with </w:t>
            </w:r>
            <w:r w:rsidR="0051320B">
              <w:t xml:space="preserve">grant </w:t>
            </w:r>
            <w:r w:rsidRPr="009B1343">
              <w:t>acquittal requirements</w:t>
            </w:r>
            <w:r w:rsidR="002238CD">
              <w:t xml:space="preserve"> when checking </w:t>
            </w:r>
            <w:r w:rsidR="00257AFA">
              <w:t xml:space="preserve">eligibility </w:t>
            </w:r>
            <w:r w:rsidR="00D14125">
              <w:t>for</w:t>
            </w:r>
            <w:r w:rsidR="00257AFA">
              <w:t xml:space="preserve"> and</w:t>
            </w:r>
            <w:r w:rsidR="002238CD">
              <w:t xml:space="preserve"> assessing new grant applications</w:t>
            </w:r>
            <w:r w:rsidR="0051320B">
              <w:t>.</w:t>
            </w:r>
          </w:p>
        </w:tc>
      </w:tr>
      <w:tr w:rsidR="00B82247" w14:paraId="61EA7F3F" w14:textId="77777777" w:rsidTr="69640E21">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A04DC" w14:textId="5CC32536" w:rsidR="00B82247" w:rsidRPr="009B1343" w:rsidRDefault="00B82247" w:rsidP="00FE1B85">
            <w:pPr>
              <w:pStyle w:val="TABLENORMAL0"/>
              <w:spacing w:line="276" w:lineRule="auto"/>
              <w:ind w:left="110"/>
              <w:rPr>
                <w:sz w:val="24"/>
                <w:szCs w:val="24"/>
                <w:lang w:eastAsia="en-US"/>
              </w:rPr>
            </w:pPr>
            <w:r w:rsidRPr="009B1343">
              <w:rPr>
                <w:sz w:val="24"/>
                <w:szCs w:val="24"/>
              </w:rPr>
              <w:t xml:space="preserve">Read the </w:t>
            </w:r>
            <w:r w:rsidR="00B34566">
              <w:rPr>
                <w:sz w:val="24"/>
                <w:szCs w:val="24"/>
              </w:rPr>
              <w:t>Cultural Development Fund: Festivals and Events Grants</w:t>
            </w:r>
            <w:r w:rsidR="0073664E">
              <w:rPr>
                <w:sz w:val="24"/>
                <w:szCs w:val="24"/>
              </w:rPr>
              <w:t xml:space="preserve">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7B42" w14:textId="42B198DF" w:rsidR="00B82247" w:rsidRPr="009B1343" w:rsidRDefault="00B82247" w:rsidP="00FE1B85">
            <w:pPr>
              <w:pStyle w:val="TABLENORMAL0"/>
              <w:spacing w:line="276" w:lineRule="auto"/>
              <w:ind w:left="107"/>
              <w:rPr>
                <w:color w:val="000000"/>
                <w:position w:val="6"/>
                <w:sz w:val="24"/>
                <w:szCs w:val="24"/>
                <w:lang w:eastAsia="en-US"/>
              </w:rPr>
            </w:pPr>
            <w:r w:rsidRPr="009B1343">
              <w:rPr>
                <w:color w:val="000000"/>
                <w:position w:val="6"/>
                <w:sz w:val="24"/>
                <w:szCs w:val="24"/>
                <w:lang w:eastAsia="en-US"/>
              </w:rPr>
              <w:t>(This document)</w:t>
            </w:r>
            <w:r w:rsidR="009C57F1">
              <w:rPr>
                <w:color w:val="000000"/>
                <w:position w:val="6"/>
                <w:sz w:val="24"/>
                <w:szCs w:val="24"/>
                <w:lang w:eastAsia="en-US"/>
              </w:rPr>
              <w:t xml:space="preserve"> </w:t>
            </w:r>
          </w:p>
        </w:tc>
      </w:tr>
      <w:tr w:rsidR="00B82247" w14:paraId="049383FF" w14:textId="77777777" w:rsidTr="69640E21">
        <w:trPr>
          <w:trHeight w:val="69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07FC8" w14:textId="77777777" w:rsidR="00B82247" w:rsidRPr="009B1343" w:rsidRDefault="00B82247" w:rsidP="00B5009A">
            <w:pPr>
              <w:tabs>
                <w:tab w:val="left" w:pos="-3060"/>
                <w:tab w:val="left" w:pos="-2340"/>
                <w:tab w:val="left" w:pos="6300"/>
              </w:tabs>
              <w:suppressAutoHyphens/>
              <w:spacing w:before="120" w:after="120" w:line="276" w:lineRule="auto"/>
              <w:ind w:left="110"/>
              <w:rPr>
                <w:rFonts w:eastAsia="Times New Roman"/>
                <w:noProof/>
                <w:color w:val="auto"/>
                <w:szCs w:val="24"/>
              </w:rPr>
            </w:pPr>
            <w:r w:rsidRPr="009B1343">
              <w:rPr>
                <w:rFonts w:eastAsia="Times New Roman"/>
                <w:noProof/>
                <w:szCs w:val="24"/>
              </w:rPr>
              <w:lastRenderedPageBreak/>
              <w:t xml:space="preserve">Check your organisation or group is an eligible applicant. </w:t>
            </w:r>
          </w:p>
          <w:p w14:paraId="0C5CB5A4" w14:textId="77777777" w:rsidR="00B82247" w:rsidRPr="009B1343" w:rsidRDefault="00B82247" w:rsidP="00B5009A">
            <w:pPr>
              <w:tabs>
                <w:tab w:val="left" w:pos="-3060"/>
                <w:tab w:val="left" w:pos="-2340"/>
                <w:tab w:val="left" w:pos="6300"/>
              </w:tabs>
              <w:suppressAutoHyphens/>
              <w:spacing w:before="120" w:after="120" w:line="276" w:lineRule="auto"/>
              <w:ind w:left="110"/>
              <w:rPr>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5294" w14:textId="6568A35B" w:rsidR="005A71BB" w:rsidRPr="009B1343" w:rsidRDefault="005A71BB" w:rsidP="00B5009A">
            <w:pPr>
              <w:pStyle w:val="NormalBullets"/>
              <w:numPr>
                <w:ilvl w:val="0"/>
                <w:numId w:val="0"/>
              </w:numPr>
              <w:spacing w:before="120" w:line="276" w:lineRule="auto"/>
              <w:ind w:left="107"/>
              <w:rPr>
                <w:szCs w:val="24"/>
              </w:rPr>
            </w:pPr>
            <w:hyperlink w:anchor="_Eligibility" w:history="1">
              <w:r w:rsidRPr="005A71BB">
                <w:rPr>
                  <w:rStyle w:val="Hyperlink"/>
                  <w:szCs w:val="24"/>
                </w:rPr>
                <w:t>Eligibility</w:t>
              </w:r>
            </w:hyperlink>
          </w:p>
          <w:p w14:paraId="11F36EDC" w14:textId="2789334D" w:rsidR="00B82247" w:rsidRPr="008A4ACE" w:rsidRDefault="00B82247" w:rsidP="00B5009A">
            <w:pPr>
              <w:pStyle w:val="NormalBullets"/>
              <w:numPr>
                <w:ilvl w:val="0"/>
                <w:numId w:val="0"/>
              </w:numPr>
              <w:spacing w:before="120" w:line="276" w:lineRule="auto"/>
              <w:ind w:left="107"/>
              <w:rPr>
                <w:szCs w:val="24"/>
              </w:rPr>
            </w:pPr>
            <w:hyperlink w:anchor="_Appendix_A_–" w:history="1">
              <w:r w:rsidRPr="008A4ACE">
                <w:rPr>
                  <w:rStyle w:val="Hyperlink"/>
                  <w:szCs w:val="24"/>
                </w:rPr>
                <w:t>Appendix A – Definitions</w:t>
              </w:r>
            </w:hyperlink>
          </w:p>
          <w:p w14:paraId="42F09C01" w14:textId="6ABD2DD4" w:rsidR="00B82247" w:rsidRPr="009762F8" w:rsidRDefault="009762F8" w:rsidP="00B5009A">
            <w:pPr>
              <w:pStyle w:val="NormalBullets"/>
              <w:numPr>
                <w:ilvl w:val="0"/>
                <w:numId w:val="0"/>
              </w:numPr>
              <w:spacing w:before="120" w:line="276" w:lineRule="auto"/>
              <w:ind w:left="107"/>
              <w:rPr>
                <w:rStyle w:val="Hyperlink"/>
                <w:szCs w:val="24"/>
              </w:rPr>
            </w:pPr>
            <w:r>
              <w:rPr>
                <w:szCs w:val="24"/>
              </w:rPr>
              <w:fldChar w:fldCharType="begin"/>
            </w:r>
            <w:r w:rsidR="008A4ACE">
              <w:rPr>
                <w:szCs w:val="24"/>
              </w:rPr>
              <w:instrText>HYPERLINK  \l "_Appendix_B_–"</w:instrText>
            </w:r>
            <w:r>
              <w:rPr>
                <w:szCs w:val="24"/>
              </w:rPr>
            </w:r>
            <w:r>
              <w:rPr>
                <w:szCs w:val="24"/>
              </w:rPr>
              <w:fldChar w:fldCharType="separate"/>
            </w:r>
            <w:r w:rsidR="00B67D49" w:rsidRPr="009762F8">
              <w:rPr>
                <w:rStyle w:val="Hyperlink"/>
                <w:szCs w:val="24"/>
              </w:rPr>
              <w:t>Appendix B – City of Port Phillip Map</w:t>
            </w:r>
          </w:p>
          <w:p w14:paraId="7137CBD4" w14:textId="7270158B" w:rsidR="00B82247" w:rsidRPr="009B1343" w:rsidRDefault="009762F8" w:rsidP="00B5009A">
            <w:pPr>
              <w:pStyle w:val="NormalBullets"/>
              <w:numPr>
                <w:ilvl w:val="0"/>
                <w:numId w:val="0"/>
              </w:numPr>
              <w:spacing w:before="120" w:line="276" w:lineRule="auto"/>
              <w:ind w:left="107"/>
              <w:rPr>
                <w:szCs w:val="24"/>
              </w:rPr>
            </w:pPr>
            <w:r>
              <w:rPr>
                <w:szCs w:val="24"/>
              </w:rPr>
              <w:fldChar w:fldCharType="end"/>
            </w:r>
            <w:hyperlink w:anchor="_Appendix_C_–" w:history="1">
              <w:r w:rsidR="00B82247" w:rsidRPr="009B1343">
                <w:rPr>
                  <w:rStyle w:val="Hyperlink"/>
                  <w:szCs w:val="24"/>
                </w:rPr>
                <w:t>Appendix C – Grant terms and conditions</w:t>
              </w:r>
            </w:hyperlink>
          </w:p>
        </w:tc>
      </w:tr>
      <w:tr w:rsidR="00B82247" w14:paraId="3CC17A40" w14:textId="77777777" w:rsidTr="69640E21">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B8A68" w14:textId="45776082" w:rsidR="00B82247" w:rsidRPr="00B5009A" w:rsidRDefault="00B82247" w:rsidP="00B5009A">
            <w:pPr>
              <w:tabs>
                <w:tab w:val="left" w:pos="-3060"/>
                <w:tab w:val="left" w:pos="-2340"/>
                <w:tab w:val="left" w:pos="6300"/>
              </w:tabs>
              <w:suppressAutoHyphens/>
              <w:spacing w:before="120" w:after="120" w:line="276" w:lineRule="auto"/>
              <w:ind w:left="110"/>
              <w:rPr>
                <w:rFonts w:eastAsia="Times New Roman"/>
                <w:szCs w:val="24"/>
              </w:rPr>
            </w:pPr>
            <w:r w:rsidRPr="009B1343">
              <w:rPr>
                <w:szCs w:val="24"/>
              </w:rPr>
              <w:t>Check your project</w:t>
            </w:r>
            <w:r w:rsidR="007C2AA2">
              <w:rPr>
                <w:szCs w:val="24"/>
              </w:rPr>
              <w:t xml:space="preserve"> or program</w:t>
            </w:r>
            <w:r w:rsidRPr="009B1343">
              <w:rPr>
                <w:szCs w:val="24"/>
              </w:rPr>
              <w:t xml:space="preserve"> is eligible for a </w:t>
            </w:r>
            <w:r w:rsidR="00C96552">
              <w:rPr>
                <w:szCs w:val="24"/>
              </w:rPr>
              <w:t>Cultural Development Fund Grant</w:t>
            </w:r>
            <w:r w:rsidR="007C2AA2">
              <w:rPr>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9772C" w14:textId="2E3307FA" w:rsidR="00B82247" w:rsidRPr="009B1343" w:rsidRDefault="00C96552" w:rsidP="00B5009A">
            <w:pPr>
              <w:pStyle w:val="NormalBullets"/>
              <w:numPr>
                <w:ilvl w:val="0"/>
                <w:numId w:val="0"/>
              </w:numPr>
              <w:spacing w:before="120" w:line="276" w:lineRule="auto"/>
              <w:ind w:left="107"/>
              <w:rPr>
                <w:szCs w:val="24"/>
              </w:rPr>
            </w:pPr>
            <w:hyperlink w:anchor="_Community_Grants_funding" w:history="1">
              <w:r>
                <w:rPr>
                  <w:rStyle w:val="Hyperlink"/>
                  <w:szCs w:val="24"/>
                </w:rPr>
                <w:t>Cultural Development Fund Grant</w:t>
              </w:r>
              <w:r w:rsidR="009762F8">
                <w:rPr>
                  <w:rStyle w:val="Hyperlink"/>
                  <w:szCs w:val="24"/>
                </w:rPr>
                <w:t xml:space="preserve">s </w:t>
              </w:r>
            </w:hyperlink>
            <w:r w:rsidR="00F7053E">
              <w:rPr>
                <w:rStyle w:val="Hyperlink"/>
                <w:szCs w:val="24"/>
              </w:rPr>
              <w:t xml:space="preserve"> </w:t>
            </w:r>
          </w:p>
          <w:p w14:paraId="3C9DA016" w14:textId="7912D829" w:rsidR="00B82247" w:rsidRPr="009B1343" w:rsidRDefault="00B82247" w:rsidP="00B5009A">
            <w:pPr>
              <w:pStyle w:val="NormalBullets"/>
              <w:numPr>
                <w:ilvl w:val="0"/>
                <w:numId w:val="0"/>
              </w:numPr>
              <w:spacing w:before="120" w:line="276" w:lineRule="auto"/>
              <w:ind w:left="107"/>
              <w:rPr>
                <w:szCs w:val="24"/>
              </w:rPr>
            </w:pPr>
            <w:hyperlink w:anchor="_What_can_be" w:history="1">
              <w:r w:rsidRPr="009B1343">
                <w:rPr>
                  <w:rStyle w:val="Hyperlink"/>
                  <w:szCs w:val="24"/>
                </w:rPr>
                <w:t>What can be funded?</w:t>
              </w:r>
            </w:hyperlink>
          </w:p>
          <w:p w14:paraId="72A8473A" w14:textId="1B9B0D21" w:rsidR="00B82247" w:rsidRPr="009B1343" w:rsidRDefault="00B82247" w:rsidP="00B5009A">
            <w:pPr>
              <w:pStyle w:val="NormalBullets"/>
              <w:numPr>
                <w:ilvl w:val="0"/>
                <w:numId w:val="0"/>
              </w:numPr>
              <w:spacing w:before="120" w:line="276" w:lineRule="auto"/>
              <w:ind w:left="107"/>
              <w:rPr>
                <w:szCs w:val="24"/>
              </w:rPr>
            </w:pPr>
            <w:hyperlink w:anchor="_What_can’t_be" w:history="1">
              <w:r w:rsidRPr="006A675A">
                <w:rPr>
                  <w:rStyle w:val="Hyperlink"/>
                  <w:szCs w:val="24"/>
                </w:rPr>
                <w:t>What can’t be funded (exclusions)?</w:t>
              </w:r>
            </w:hyperlink>
            <w:r w:rsidR="00093FD7" w:rsidRPr="009B1343">
              <w:rPr>
                <w:szCs w:val="24"/>
              </w:rPr>
              <w:t xml:space="preserve"> </w:t>
            </w:r>
          </w:p>
        </w:tc>
      </w:tr>
      <w:tr w:rsidR="001B5344" w14:paraId="53188B80" w14:textId="77777777" w:rsidTr="69640E21">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38A2" w14:textId="431C6A9D" w:rsidR="001B5344" w:rsidRPr="009B1343" w:rsidRDefault="00231CCC" w:rsidP="005A71BB">
            <w:pPr>
              <w:tabs>
                <w:tab w:val="left" w:pos="-3060"/>
                <w:tab w:val="left" w:pos="-2340"/>
                <w:tab w:val="left" w:pos="6300"/>
              </w:tabs>
              <w:suppressAutoHyphens/>
              <w:spacing w:before="120" w:after="120" w:line="276" w:lineRule="auto"/>
              <w:ind w:left="110"/>
              <w:rPr>
                <w:szCs w:val="24"/>
              </w:rPr>
            </w:pPr>
            <w:r>
              <w:rPr>
                <w:szCs w:val="24"/>
              </w:rPr>
              <w:t xml:space="preserve">Review the list of previous </w:t>
            </w:r>
            <w:r w:rsidR="00C96552">
              <w:rPr>
                <w:szCs w:val="24"/>
              </w:rPr>
              <w:t>Cultural Development Fund Grant</w:t>
            </w:r>
            <w:r>
              <w:rPr>
                <w:szCs w:val="24"/>
              </w:rPr>
              <w:t xml:space="preserve"> reci</w:t>
            </w:r>
            <w:r w:rsidR="008B7732">
              <w:rPr>
                <w:szCs w:val="24"/>
              </w:rPr>
              <w:t>pients to understand the types of projects and programs funded.</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78DD3" w14:textId="7077EFD5" w:rsidR="001B5344" w:rsidRPr="009B1343" w:rsidRDefault="005309C6" w:rsidP="005A71BB">
            <w:pPr>
              <w:pStyle w:val="NormalBullets"/>
              <w:numPr>
                <w:ilvl w:val="0"/>
                <w:numId w:val="0"/>
              </w:numPr>
              <w:spacing w:before="120" w:line="276" w:lineRule="auto"/>
              <w:ind w:left="107"/>
              <w:rPr>
                <w:szCs w:val="24"/>
              </w:rPr>
            </w:pPr>
            <w:hyperlink r:id="rId35" w:history="1">
              <w:r w:rsidRPr="00615CA4">
                <w:rPr>
                  <w:rStyle w:val="Hyperlink"/>
                  <w:szCs w:val="24"/>
                </w:rPr>
                <w:t xml:space="preserve">Previous </w:t>
              </w:r>
              <w:r w:rsidR="00C96552" w:rsidRPr="00615CA4">
                <w:rPr>
                  <w:rStyle w:val="Hyperlink"/>
                  <w:szCs w:val="24"/>
                </w:rPr>
                <w:t>Cultural Development Fund Grant</w:t>
              </w:r>
              <w:r w:rsidRPr="00615CA4">
                <w:rPr>
                  <w:rStyle w:val="Hyperlink"/>
                  <w:szCs w:val="24"/>
                </w:rPr>
                <w:t xml:space="preserve"> recipients</w:t>
              </w:r>
            </w:hyperlink>
            <w:r w:rsidR="00DD0327">
              <w:rPr>
                <w:rStyle w:val="FootnoteReference"/>
                <w:color w:val="0563C1" w:themeColor="hyperlink"/>
                <w:szCs w:val="24"/>
                <w:u w:val="single"/>
              </w:rPr>
              <w:footnoteReference w:id="4"/>
            </w:r>
          </w:p>
        </w:tc>
      </w:tr>
      <w:tr w:rsidR="00B82247" w14:paraId="0BB0E37F" w14:textId="77777777" w:rsidTr="69640E21">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BBE97" w14:textId="1F533BC2" w:rsidR="00B82247" w:rsidRPr="009B1343" w:rsidRDefault="00B82247" w:rsidP="00B5009A">
            <w:pPr>
              <w:pStyle w:val="TABLENORMAL0"/>
              <w:spacing w:line="276" w:lineRule="auto"/>
              <w:ind w:left="110"/>
              <w:rPr>
                <w:sz w:val="24"/>
                <w:szCs w:val="24"/>
                <w:lang w:eastAsia="en-US"/>
              </w:rPr>
            </w:pPr>
            <w:r w:rsidRPr="00B5009A">
              <w:rPr>
                <w:sz w:val="24"/>
                <w:szCs w:val="24"/>
              </w:rPr>
              <w:t xml:space="preserve">Check the </w:t>
            </w:r>
            <w:r w:rsidR="00C96552">
              <w:rPr>
                <w:sz w:val="24"/>
                <w:szCs w:val="24"/>
              </w:rPr>
              <w:t>Cultural Development Fund: Festivals and Events Grants</w:t>
            </w:r>
            <w:r w:rsidRPr="00B5009A">
              <w:rPr>
                <w:sz w:val="24"/>
                <w:szCs w:val="24"/>
              </w:rPr>
              <w:t xml:space="preserve"> </w:t>
            </w:r>
            <w:r w:rsidR="00DF34C0">
              <w:rPr>
                <w:sz w:val="24"/>
                <w:szCs w:val="24"/>
              </w:rPr>
              <w:t>T</w:t>
            </w:r>
            <w:r w:rsidRPr="00B5009A">
              <w:rPr>
                <w:sz w:val="24"/>
                <w:szCs w:val="24"/>
              </w:rPr>
              <w:t xml:space="preserve">imeframes align with your project </w:t>
            </w:r>
            <w:r w:rsidR="00206DC0">
              <w:rPr>
                <w:sz w:val="24"/>
                <w:szCs w:val="24"/>
              </w:rPr>
              <w:t>or program</w:t>
            </w:r>
            <w:r w:rsidRPr="00B5009A">
              <w:rPr>
                <w:sz w:val="24"/>
                <w:szCs w:val="24"/>
              </w:rPr>
              <w:t xml:space="preserve"> timeframes.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A2C9" w14:textId="6B2343BA" w:rsidR="00B82247" w:rsidRPr="006A675A" w:rsidRDefault="00B74384" w:rsidP="00B5009A">
            <w:pPr>
              <w:pStyle w:val="TABLENORMAL0"/>
              <w:spacing w:line="276" w:lineRule="auto"/>
              <w:ind w:left="107"/>
              <w:rPr>
                <w:sz w:val="24"/>
                <w:szCs w:val="24"/>
              </w:rPr>
            </w:pPr>
            <w:r w:rsidRPr="00882F4E">
              <w:rPr>
                <w:sz w:val="24"/>
                <w:szCs w:val="24"/>
              </w:rPr>
              <w:t xml:space="preserve">Program </w:t>
            </w:r>
            <w:hyperlink r:id="rId36" w:history="1">
              <w:r w:rsidRPr="00882F4E">
                <w:rPr>
                  <w:rStyle w:val="Hyperlink"/>
                  <w:sz w:val="24"/>
                  <w:szCs w:val="24"/>
                </w:rPr>
                <w:t>timeframes</w:t>
              </w:r>
            </w:hyperlink>
            <w:r w:rsidRPr="00882F4E">
              <w:rPr>
                <w:sz w:val="24"/>
                <w:szCs w:val="24"/>
              </w:rPr>
              <w:t xml:space="preserve"> </w:t>
            </w:r>
          </w:p>
        </w:tc>
      </w:tr>
      <w:tr w:rsidR="00B82247" w14:paraId="47AF0F34" w14:textId="77777777" w:rsidTr="69640E21">
        <w:trPr>
          <w:trHeight w:val="697"/>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FCB5" w14:textId="5B36DA7D" w:rsidR="00B82247" w:rsidRPr="009B1343" w:rsidRDefault="00B82247" w:rsidP="00B5009A">
            <w:pPr>
              <w:pStyle w:val="TABLENORMAL0"/>
              <w:spacing w:line="276" w:lineRule="auto"/>
              <w:ind w:left="110"/>
              <w:rPr>
                <w:sz w:val="24"/>
                <w:szCs w:val="24"/>
                <w:lang w:eastAsia="en-US"/>
              </w:rPr>
            </w:pPr>
            <w:r w:rsidRPr="009B1343">
              <w:rPr>
                <w:sz w:val="24"/>
                <w:szCs w:val="24"/>
              </w:rPr>
              <w:t>Familiarise yourself with the Council Plan.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7945" w14:textId="53324664" w:rsidR="00B82247" w:rsidRPr="009B1343" w:rsidRDefault="00E90A50" w:rsidP="00B5009A">
            <w:pPr>
              <w:pStyle w:val="TABLENORMAL0"/>
              <w:spacing w:line="276" w:lineRule="auto"/>
              <w:ind w:left="107"/>
              <w:rPr>
                <w:b/>
                <w:bCs/>
                <w:color w:val="000000"/>
                <w:position w:val="7"/>
                <w:sz w:val="24"/>
                <w:szCs w:val="24"/>
                <w:lang w:eastAsia="en-US"/>
              </w:rPr>
            </w:pPr>
            <w:hyperlink r:id="rId37" w:history="1">
              <w:r w:rsidRPr="00DF26E7">
                <w:rPr>
                  <w:rStyle w:val="Hyperlink"/>
                </w:rPr>
                <w:t>Council Plan 2025-2035</w:t>
              </w:r>
            </w:hyperlink>
            <w:r w:rsidR="00BC1926">
              <w:rPr>
                <w:rStyle w:val="FootnoteReference"/>
                <w:color w:val="0563C1" w:themeColor="hyperlink"/>
                <w:sz w:val="24"/>
                <w:szCs w:val="24"/>
                <w:u w:val="single"/>
              </w:rPr>
              <w:footnoteReference w:id="5"/>
            </w:r>
          </w:p>
        </w:tc>
      </w:tr>
      <w:tr w:rsidR="00B82247" w14:paraId="5EB2CD1A" w14:textId="77777777" w:rsidTr="69640E21">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70E24" w14:textId="456EFD5A" w:rsidR="00B82247" w:rsidRPr="009B1343" w:rsidRDefault="00B82247" w:rsidP="00B5009A">
            <w:pPr>
              <w:pStyle w:val="TABLENORMAL0"/>
              <w:spacing w:line="276" w:lineRule="auto"/>
              <w:ind w:left="110"/>
              <w:rPr>
                <w:sz w:val="24"/>
                <w:szCs w:val="24"/>
              </w:rPr>
            </w:pPr>
            <w:r w:rsidRPr="00B5009A">
              <w:rPr>
                <w:sz w:val="24"/>
                <w:szCs w:val="24"/>
              </w:rPr>
              <w:t xml:space="preserve">Attend a grants information session or </w:t>
            </w:r>
            <w:r w:rsidR="007A7FE1">
              <w:rPr>
                <w:sz w:val="24"/>
                <w:szCs w:val="24"/>
              </w:rPr>
              <w:t xml:space="preserve">grant writing </w:t>
            </w:r>
            <w:r w:rsidRPr="00B5009A">
              <w:rPr>
                <w:sz w:val="24"/>
                <w:szCs w:val="24"/>
              </w:rPr>
              <w:t>workshop</w:t>
            </w:r>
            <w:r w:rsidR="007A7FE1">
              <w:rPr>
                <w:sz w:val="24"/>
                <w:szCs w:val="24"/>
              </w:rPr>
              <w:t xml:space="preserve"> (or both)</w:t>
            </w:r>
            <w:r w:rsidRPr="00B5009A">
              <w:rPr>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3C22" w14:textId="6586CBC8" w:rsidR="00B82247" w:rsidRPr="009B1343" w:rsidRDefault="00C96552" w:rsidP="000C5C3C">
            <w:pPr>
              <w:pStyle w:val="TABLENORMAL0"/>
              <w:spacing w:line="276" w:lineRule="auto"/>
              <w:ind w:left="107"/>
              <w:rPr>
                <w:sz w:val="24"/>
                <w:szCs w:val="24"/>
              </w:rPr>
            </w:pPr>
            <w:r w:rsidRPr="00B74384">
              <w:rPr>
                <w:sz w:val="24"/>
                <w:szCs w:val="24"/>
              </w:rPr>
              <w:t xml:space="preserve">Cultural Development Fund </w:t>
            </w:r>
            <w:hyperlink r:id="rId38" w:history="1">
              <w:r w:rsidR="000C5C3C" w:rsidRPr="000C5C3C">
                <w:rPr>
                  <w:rStyle w:val="Hyperlink"/>
                  <w:sz w:val="24"/>
                  <w:szCs w:val="24"/>
                </w:rPr>
                <w:t>-Grant writing for Creatives Workshop and i</w:t>
              </w:r>
              <w:r w:rsidR="00B82247" w:rsidRPr="000C5C3C">
                <w:rPr>
                  <w:rStyle w:val="Hyperlink"/>
                  <w:sz w:val="24"/>
                  <w:szCs w:val="24"/>
                </w:rPr>
                <w:t>nformation Session</w:t>
              </w:r>
              <w:r w:rsidR="00460FA6" w:rsidRPr="000C5C3C">
                <w:rPr>
                  <w:rStyle w:val="Hyperlink"/>
                  <w:sz w:val="24"/>
                  <w:szCs w:val="24"/>
                  <w:vertAlign w:val="superscript"/>
                </w:rPr>
                <w:footnoteReference w:id="6"/>
              </w:r>
            </w:hyperlink>
          </w:p>
        </w:tc>
      </w:tr>
      <w:tr w:rsidR="00B82247" w14:paraId="2E6B8996" w14:textId="77777777" w:rsidTr="69640E21">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35BE" w14:textId="3C05CC01" w:rsidR="00B82247" w:rsidRPr="00B5009A" w:rsidRDefault="00636234" w:rsidP="00B5009A">
            <w:pPr>
              <w:pStyle w:val="TABLENORMAL0"/>
              <w:spacing w:line="276" w:lineRule="auto"/>
              <w:ind w:left="110"/>
              <w:rPr>
                <w:sz w:val="24"/>
                <w:szCs w:val="24"/>
              </w:rPr>
            </w:pPr>
            <w:r w:rsidRPr="00B5009A">
              <w:rPr>
                <w:sz w:val="24"/>
                <w:szCs w:val="24"/>
              </w:rPr>
              <w:t>S</w:t>
            </w:r>
            <w:r w:rsidR="00B82247" w:rsidRPr="00B5009A">
              <w:rPr>
                <w:sz w:val="24"/>
                <w:szCs w:val="24"/>
              </w:rPr>
              <w:t xml:space="preserve">tart </w:t>
            </w:r>
            <w:r w:rsidR="0071465F" w:rsidRPr="00B5009A">
              <w:rPr>
                <w:sz w:val="24"/>
                <w:szCs w:val="24"/>
              </w:rPr>
              <w:t>a new</w:t>
            </w:r>
            <w:r w:rsidR="00D5460C" w:rsidRPr="00B5009A">
              <w:rPr>
                <w:sz w:val="24"/>
                <w:szCs w:val="24"/>
              </w:rPr>
              <w:t xml:space="preserve"> </w:t>
            </w:r>
            <w:r w:rsidR="00C96552">
              <w:rPr>
                <w:sz w:val="24"/>
                <w:szCs w:val="24"/>
              </w:rPr>
              <w:t>Cultural Development Fund Grant</w:t>
            </w:r>
            <w:r w:rsidR="00D5460C" w:rsidRPr="00B5009A">
              <w:rPr>
                <w:sz w:val="24"/>
                <w:szCs w:val="24"/>
              </w:rPr>
              <w:t>s</w:t>
            </w:r>
            <w:r w:rsidR="00B82247" w:rsidRPr="00B5009A">
              <w:rPr>
                <w:sz w:val="24"/>
                <w:szCs w:val="24"/>
              </w:rPr>
              <w:t xml:space="preserve"> application</w:t>
            </w:r>
            <w:r w:rsidR="00505E46">
              <w:rPr>
                <w:sz w:val="24"/>
                <w:szCs w:val="24"/>
              </w:rPr>
              <w:t xml:space="preserve"> in SmartyGrants</w:t>
            </w:r>
            <w:r w:rsidR="00B82247" w:rsidRPr="00B5009A">
              <w:rPr>
                <w:sz w:val="24"/>
                <w:szCs w:val="24"/>
              </w:rPr>
              <w:t>:</w:t>
            </w:r>
          </w:p>
          <w:p w14:paraId="3AE15E97" w14:textId="1CB62560" w:rsidR="00B82247" w:rsidRPr="009B1343" w:rsidRDefault="00B82247" w:rsidP="00B5009A">
            <w:pPr>
              <w:pStyle w:val="NormalBullets"/>
              <w:spacing w:before="120"/>
            </w:pPr>
            <w:r w:rsidRPr="009B1343">
              <w:t>Visit the City of Port Phillip SmartyGrants wesbite</w:t>
            </w:r>
            <w:r w:rsidR="009660A4">
              <w:t>.</w:t>
            </w:r>
          </w:p>
          <w:p w14:paraId="72F692E8" w14:textId="45701143" w:rsidR="00B82247" w:rsidRPr="009B1343" w:rsidRDefault="00B82247" w:rsidP="00B5009A">
            <w:pPr>
              <w:pStyle w:val="NormalBullets"/>
              <w:spacing w:before="120"/>
            </w:pPr>
            <w:r w:rsidRPr="009B1343">
              <w:t xml:space="preserve">Select the </w:t>
            </w:r>
            <w:r w:rsidR="00C96552">
              <w:t>Cultural Development Fund Grant</w:t>
            </w:r>
            <w:r w:rsidRPr="009B1343">
              <w:t xml:space="preserve">s category </w:t>
            </w:r>
            <w:r w:rsidR="00790E63">
              <w:t>to</w:t>
            </w:r>
            <w:r w:rsidRPr="009B1343">
              <w:t xml:space="preserve"> which you would like to apply. </w:t>
            </w:r>
          </w:p>
          <w:p w14:paraId="786EB621" w14:textId="77777777" w:rsidR="00B82247" w:rsidRPr="009B1343" w:rsidRDefault="00B82247" w:rsidP="00B5009A">
            <w:pPr>
              <w:pStyle w:val="NormalBullets"/>
              <w:spacing w:before="120"/>
            </w:pPr>
            <w:r w:rsidRPr="009B1343">
              <w:lastRenderedPageBreak/>
              <w:t xml:space="preserve">You will then be asked to log into your existing SmartyGrants account or register as a new user.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BF1D" w14:textId="6EBD7093" w:rsidR="00B82247" w:rsidRDefault="00B82247" w:rsidP="005A71BB">
            <w:pPr>
              <w:pStyle w:val="TABLENORMAL0"/>
              <w:spacing w:line="276" w:lineRule="auto"/>
              <w:ind w:left="107"/>
              <w:rPr>
                <w:sz w:val="24"/>
                <w:szCs w:val="24"/>
              </w:rPr>
            </w:pPr>
            <w:hyperlink r:id="rId39" w:history="1">
              <w:r w:rsidRPr="00B5009A">
                <w:rPr>
                  <w:rStyle w:val="Hyperlink"/>
                  <w:sz w:val="24"/>
                  <w:szCs w:val="24"/>
                </w:rPr>
                <w:t>City of Port Phillip SmartyGrants we</w:t>
              </w:r>
              <w:r w:rsidR="00B74384">
                <w:rPr>
                  <w:rStyle w:val="Hyperlink"/>
                  <w:sz w:val="24"/>
                  <w:szCs w:val="24"/>
                </w:rPr>
                <w:t>bs</w:t>
              </w:r>
              <w:r w:rsidRPr="00B5009A">
                <w:rPr>
                  <w:rStyle w:val="Hyperlink"/>
                  <w:sz w:val="24"/>
                  <w:szCs w:val="24"/>
                </w:rPr>
                <w:t>ite</w:t>
              </w:r>
            </w:hyperlink>
            <w:r w:rsidR="00867A90">
              <w:rPr>
                <w:rStyle w:val="FootnoteReference"/>
                <w:color w:val="0563C1" w:themeColor="hyperlink"/>
                <w:sz w:val="24"/>
                <w:szCs w:val="24"/>
                <w:u w:val="single"/>
              </w:rPr>
              <w:footnoteReference w:id="7"/>
            </w:r>
          </w:p>
          <w:p w14:paraId="4A4E06E6" w14:textId="28A82D6C" w:rsidR="000A42AE" w:rsidRPr="00B5009A" w:rsidDel="007224A9" w:rsidRDefault="000A42AE" w:rsidP="00B5009A">
            <w:pPr>
              <w:pStyle w:val="TABLENORMAL0"/>
              <w:spacing w:line="276" w:lineRule="auto"/>
              <w:ind w:left="107"/>
              <w:rPr>
                <w:sz w:val="24"/>
                <w:szCs w:val="24"/>
              </w:rPr>
            </w:pPr>
            <w:hyperlink r:id="rId40" w:history="1">
              <w:r w:rsidRPr="000A42AE">
                <w:rPr>
                  <w:rStyle w:val="Hyperlink"/>
                  <w:sz w:val="24"/>
                  <w:szCs w:val="24"/>
                </w:rPr>
                <w:t>City of Port Phillip SmartyGrants Login and Registration page</w:t>
              </w:r>
            </w:hyperlink>
            <w:r w:rsidR="004E0AB6">
              <w:rPr>
                <w:rStyle w:val="FootnoteReference"/>
                <w:color w:val="0563C1" w:themeColor="hyperlink"/>
                <w:sz w:val="24"/>
                <w:szCs w:val="24"/>
                <w:u w:val="single"/>
              </w:rPr>
              <w:footnoteReference w:id="8"/>
            </w:r>
          </w:p>
        </w:tc>
      </w:tr>
      <w:tr w:rsidR="00D5460C" w14:paraId="04DC6F42" w14:textId="77777777" w:rsidTr="00D54005">
        <w:trPr>
          <w:trHeight w:val="58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46EF" w14:textId="566D0008" w:rsidR="00D5460C" w:rsidRPr="00B5009A" w:rsidRDefault="00D5460C" w:rsidP="00B5009A">
            <w:pPr>
              <w:pStyle w:val="TABLENORMAL0"/>
              <w:spacing w:line="276" w:lineRule="auto"/>
              <w:ind w:left="110"/>
              <w:rPr>
                <w:sz w:val="24"/>
                <w:szCs w:val="24"/>
              </w:rPr>
            </w:pPr>
            <w:r w:rsidRPr="00B5009A">
              <w:rPr>
                <w:sz w:val="24"/>
                <w:szCs w:val="24"/>
              </w:rPr>
              <w:t xml:space="preserve">Review the </w:t>
            </w:r>
            <w:r w:rsidR="0093405E" w:rsidRPr="00B5009A">
              <w:rPr>
                <w:sz w:val="24"/>
                <w:szCs w:val="24"/>
              </w:rPr>
              <w:t>Assessment Criteria</w:t>
            </w:r>
            <w:r w:rsidR="0076457D">
              <w:rPr>
                <w:sz w:val="24"/>
                <w:szCs w:val="24"/>
              </w:rPr>
              <w:t xml:space="preserve"> in the</w:t>
            </w:r>
            <w:r w:rsidR="00FE77C2">
              <w:rPr>
                <w:sz w:val="24"/>
                <w:szCs w:val="24"/>
              </w:rPr>
              <w:t>se</w:t>
            </w:r>
            <w:r w:rsidR="0076457D">
              <w:rPr>
                <w:sz w:val="24"/>
                <w:szCs w:val="24"/>
              </w:rPr>
              <w:t xml:space="preserve">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245A" w14:textId="5B2C86B5" w:rsidR="00D5460C" w:rsidRPr="009B1343" w:rsidRDefault="0093405E" w:rsidP="00B5009A">
            <w:pPr>
              <w:pStyle w:val="NormalBullets"/>
              <w:numPr>
                <w:ilvl w:val="0"/>
                <w:numId w:val="0"/>
              </w:numPr>
              <w:spacing w:before="120" w:line="276" w:lineRule="auto"/>
              <w:ind w:left="107"/>
              <w:rPr>
                <w:szCs w:val="24"/>
              </w:rPr>
            </w:pPr>
            <w:hyperlink w:anchor="_Assessment_cCriteria" w:history="1">
              <w:r w:rsidRPr="009B1343">
                <w:rPr>
                  <w:rStyle w:val="Hyperlink"/>
                  <w:szCs w:val="24"/>
                </w:rPr>
                <w:t>Assessment Criteria</w:t>
              </w:r>
            </w:hyperlink>
          </w:p>
        </w:tc>
      </w:tr>
      <w:tr w:rsidR="00B82247" w14:paraId="36973C3A" w14:textId="77777777" w:rsidTr="69640E21">
        <w:trPr>
          <w:trHeight w:val="128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704C" w14:textId="77777777" w:rsidR="00B82247" w:rsidRPr="009B1343" w:rsidRDefault="00B82247" w:rsidP="00B5009A">
            <w:pPr>
              <w:pStyle w:val="TABLENORMAL0"/>
              <w:spacing w:line="276" w:lineRule="auto"/>
              <w:ind w:left="110"/>
              <w:rPr>
                <w:sz w:val="24"/>
                <w:szCs w:val="24"/>
              </w:rPr>
            </w:pPr>
            <w:r w:rsidRPr="009B1343">
              <w:rPr>
                <w:sz w:val="24"/>
                <w:szCs w:val="24"/>
              </w:rPr>
              <w:t>Fill in an</w:t>
            </w:r>
            <w:r w:rsidR="003C4043" w:rsidRPr="009B1343">
              <w:rPr>
                <w:sz w:val="24"/>
                <w:szCs w:val="24"/>
              </w:rPr>
              <w:t>d</w:t>
            </w:r>
            <w:r w:rsidRPr="009B1343">
              <w:rPr>
                <w:sz w:val="24"/>
                <w:szCs w:val="24"/>
              </w:rPr>
              <w:t xml:space="preserve"> complete your application</w:t>
            </w:r>
            <w:r w:rsidR="00151DB5" w:rsidRPr="009B1343">
              <w:rPr>
                <w:sz w:val="24"/>
                <w:szCs w:val="24"/>
              </w:rPr>
              <w:t xml:space="preserve"> form</w:t>
            </w:r>
            <w:r w:rsidRPr="009B1343">
              <w:rPr>
                <w:sz w:val="24"/>
                <w:szCs w:val="24"/>
              </w:rPr>
              <w:t xml:space="preserve">. </w:t>
            </w:r>
          </w:p>
          <w:p w14:paraId="6E8A05C6" w14:textId="0F4DB878" w:rsidR="000D744C" w:rsidRPr="009B1343" w:rsidRDefault="000D744C" w:rsidP="00B5009A">
            <w:pPr>
              <w:pStyle w:val="TABLENORMAL0"/>
              <w:spacing w:line="276" w:lineRule="auto"/>
              <w:ind w:left="110"/>
              <w:rPr>
                <w:sz w:val="24"/>
                <w:szCs w:val="24"/>
              </w:rPr>
            </w:pPr>
            <w:r w:rsidRPr="009B1343">
              <w:rPr>
                <w:sz w:val="24"/>
                <w:szCs w:val="24"/>
              </w:rPr>
              <w:t xml:space="preserve">Note: </w:t>
            </w:r>
            <w:r w:rsidR="00BA6123" w:rsidRPr="009B1343">
              <w:rPr>
                <w:sz w:val="24"/>
                <w:szCs w:val="24"/>
              </w:rPr>
              <w:t>In the budget section, ensur</w:t>
            </w:r>
            <w:r w:rsidR="00BC3B13" w:rsidRPr="009B1343">
              <w:rPr>
                <w:sz w:val="24"/>
                <w:szCs w:val="24"/>
              </w:rPr>
              <w:t>e</w:t>
            </w:r>
            <w:r w:rsidRPr="009B1343">
              <w:rPr>
                <w:sz w:val="24"/>
                <w:szCs w:val="24"/>
              </w:rPr>
              <w:t xml:space="preserve"> the </w:t>
            </w:r>
            <w:r w:rsidR="00BA6123" w:rsidRPr="009B1343">
              <w:rPr>
                <w:sz w:val="24"/>
                <w:szCs w:val="24"/>
              </w:rPr>
              <w:t>income equals expend</w:t>
            </w:r>
            <w:r w:rsidR="00C2401F">
              <w:rPr>
                <w:sz w:val="24"/>
                <w:szCs w:val="24"/>
              </w:rPr>
              <w:t>i</w:t>
            </w:r>
            <w:r w:rsidR="00BA6123" w:rsidRPr="009B1343">
              <w:rPr>
                <w:sz w:val="24"/>
                <w:szCs w:val="24"/>
              </w:rPr>
              <w:t xml:space="preserve">ture.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9EE9" w14:textId="1B47A3DA" w:rsidR="008519D1" w:rsidRPr="00231CCC" w:rsidRDefault="008519D1" w:rsidP="00B5009A">
            <w:pPr>
              <w:pStyle w:val="NormalBullets"/>
              <w:numPr>
                <w:ilvl w:val="0"/>
                <w:numId w:val="0"/>
              </w:numPr>
              <w:spacing w:before="120" w:line="276" w:lineRule="auto"/>
              <w:ind w:left="107"/>
              <w:rPr>
                <w:rStyle w:val="Hyperlink"/>
                <w:rFonts w:eastAsiaTheme="minorHAnsi"/>
                <w:noProof w:val="0"/>
                <w:szCs w:val="24"/>
              </w:rPr>
            </w:pPr>
            <w:hyperlink r:id="rId41" w:history="1">
              <w:r w:rsidRPr="000A42AE">
                <w:rPr>
                  <w:rStyle w:val="Hyperlink"/>
                  <w:szCs w:val="24"/>
                </w:rPr>
                <w:t>City of Port Phillip SmartyGrants Login and Registration page</w:t>
              </w:r>
            </w:hyperlink>
          </w:p>
          <w:p w14:paraId="5221E609" w14:textId="0509681B" w:rsidR="00151DB5" w:rsidRPr="009B1343" w:rsidRDefault="00151DB5" w:rsidP="00B5009A">
            <w:pPr>
              <w:pStyle w:val="TABLENORMAL0"/>
              <w:spacing w:line="276" w:lineRule="auto"/>
              <w:ind w:left="107"/>
              <w:rPr>
                <w:rStyle w:val="Hyperlink"/>
                <w:rFonts w:eastAsia="Calibri"/>
                <w:sz w:val="24"/>
                <w:szCs w:val="24"/>
                <w:lang w:eastAsia="en-US"/>
              </w:rPr>
            </w:pPr>
            <w:hyperlink w:anchor="_Access_and_iInclusion" w:history="1">
              <w:r w:rsidRPr="009B1343">
                <w:rPr>
                  <w:rStyle w:val="Hyperlink"/>
                  <w:sz w:val="24"/>
                  <w:szCs w:val="24"/>
                  <w:lang w:eastAsia="en-US"/>
                </w:rPr>
                <w:t>Access and inclusion</w:t>
              </w:r>
            </w:hyperlink>
          </w:p>
          <w:p w14:paraId="7982BAE3" w14:textId="416367B9" w:rsidR="00151DB5" w:rsidRPr="00696645" w:rsidRDefault="00696645" w:rsidP="00B5009A">
            <w:pPr>
              <w:pStyle w:val="TABLENORMAL0"/>
              <w:spacing w:line="276" w:lineRule="auto"/>
              <w:ind w:left="107"/>
              <w:rPr>
                <w:rStyle w:val="Hyperlink"/>
                <w:sz w:val="24"/>
                <w:szCs w:val="24"/>
                <w:lang w:eastAsia="en-US"/>
              </w:rPr>
            </w:pPr>
            <w:r>
              <w:rPr>
                <w:sz w:val="24"/>
                <w:szCs w:val="24"/>
                <w:lang w:eastAsia="en-US"/>
              </w:rPr>
              <w:fldChar w:fldCharType="begin"/>
            </w:r>
            <w:r w:rsidR="006A675A">
              <w:rPr>
                <w:sz w:val="24"/>
                <w:szCs w:val="24"/>
                <w:lang w:eastAsia="en-US"/>
              </w:rPr>
              <w:instrText>HYPERLINK  \l "_LGBTIQA+"</w:instrText>
            </w:r>
            <w:r>
              <w:rPr>
                <w:sz w:val="24"/>
                <w:szCs w:val="24"/>
                <w:lang w:eastAsia="en-US"/>
              </w:rPr>
            </w:r>
            <w:r>
              <w:rPr>
                <w:sz w:val="24"/>
                <w:szCs w:val="24"/>
                <w:lang w:eastAsia="en-US"/>
              </w:rPr>
              <w:fldChar w:fldCharType="separate"/>
            </w:r>
            <w:r w:rsidR="00151DB5" w:rsidRPr="00696645">
              <w:rPr>
                <w:rStyle w:val="Hyperlink"/>
                <w:sz w:val="24"/>
                <w:szCs w:val="24"/>
                <w:lang w:eastAsia="en-US"/>
              </w:rPr>
              <w:t>LGBTIQA+</w:t>
            </w:r>
          </w:p>
          <w:p w14:paraId="400C654E" w14:textId="54C8AAF8" w:rsidR="00151DB5" w:rsidRPr="009B1343" w:rsidRDefault="00696645" w:rsidP="00B5009A">
            <w:pPr>
              <w:pStyle w:val="NormalBullets"/>
              <w:numPr>
                <w:ilvl w:val="0"/>
                <w:numId w:val="0"/>
              </w:numPr>
              <w:spacing w:before="120" w:line="276" w:lineRule="auto"/>
              <w:ind w:left="107"/>
              <w:rPr>
                <w:szCs w:val="24"/>
              </w:rPr>
            </w:pPr>
            <w:r>
              <w:rPr>
                <w:rFonts w:eastAsia="Times New Roman"/>
                <w:color w:val="000000" w:themeColor="text1"/>
                <w:szCs w:val="24"/>
              </w:rPr>
              <w:fldChar w:fldCharType="end"/>
            </w:r>
            <w:hyperlink w:anchor="_Sustainability" w:history="1">
              <w:r w:rsidR="00151DB5" w:rsidRPr="009B1343">
                <w:rPr>
                  <w:rStyle w:val="Hyperlink"/>
                  <w:szCs w:val="24"/>
                </w:rPr>
                <w:t>Sustainability</w:t>
              </w:r>
            </w:hyperlink>
          </w:p>
        </w:tc>
      </w:tr>
      <w:tr w:rsidR="00B82247" w14:paraId="1D9FEE52" w14:textId="77777777" w:rsidTr="69640E21">
        <w:trPr>
          <w:trHeight w:val="55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3475" w14:textId="1F121E26" w:rsidR="00B82247" w:rsidRPr="009B1343" w:rsidRDefault="0093405E" w:rsidP="00B5009A">
            <w:pPr>
              <w:pStyle w:val="TABLENORMAL0"/>
              <w:spacing w:line="276" w:lineRule="auto"/>
              <w:ind w:left="110"/>
              <w:rPr>
                <w:sz w:val="24"/>
                <w:szCs w:val="24"/>
                <w:lang w:eastAsia="en-US"/>
              </w:rPr>
            </w:pPr>
            <w:r w:rsidRPr="009B1343">
              <w:rPr>
                <w:sz w:val="24"/>
                <w:szCs w:val="24"/>
                <w:lang w:eastAsia="en-US"/>
              </w:rPr>
              <w:t>Obtain</w:t>
            </w:r>
            <w:r w:rsidR="00D70E0F">
              <w:rPr>
                <w:sz w:val="24"/>
                <w:szCs w:val="24"/>
                <w:lang w:eastAsia="en-US"/>
              </w:rPr>
              <w:t xml:space="preserve"> and attach</w:t>
            </w:r>
            <w:r w:rsidRPr="009B1343">
              <w:rPr>
                <w:sz w:val="24"/>
                <w:szCs w:val="24"/>
                <w:lang w:eastAsia="en-US"/>
              </w:rPr>
              <w:t xml:space="preserve"> all mandatory supporting documentation</w:t>
            </w:r>
            <w:r w:rsidR="00D70E0F">
              <w:rPr>
                <w:sz w:val="24"/>
                <w:szCs w:val="24"/>
                <w:lang w:eastAsia="en-US"/>
              </w:rPr>
              <w:t xml:space="preserve"> to your application</w:t>
            </w:r>
            <w:r w:rsidR="00224507" w:rsidRPr="009B1343">
              <w:rPr>
                <w:sz w:val="24"/>
                <w:szCs w:val="24"/>
                <w:lang w:eastAsia="en-US"/>
              </w:rPr>
              <w:t xml:space="preserve">. </w:t>
            </w:r>
          </w:p>
          <w:p w14:paraId="62EE3D35" w14:textId="266592E7" w:rsidR="00B66459" w:rsidRPr="009B1343" w:rsidRDefault="0074122D" w:rsidP="00B5009A">
            <w:pPr>
              <w:pStyle w:val="TABLENORMAL0"/>
              <w:spacing w:line="276" w:lineRule="auto"/>
              <w:ind w:left="110"/>
              <w:rPr>
                <w:sz w:val="24"/>
                <w:szCs w:val="24"/>
                <w:lang w:eastAsia="en-US"/>
              </w:rPr>
            </w:pPr>
            <w:r w:rsidRPr="009B1343">
              <w:rPr>
                <w:sz w:val="24"/>
                <w:szCs w:val="24"/>
                <w:lang w:eastAsia="en-US"/>
              </w:rPr>
              <w:t xml:space="preserve">There are additional requirements for applicants who are being auspiced.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06AC" w14:textId="21C15DF2" w:rsidR="00B82247" w:rsidRPr="009B1343" w:rsidRDefault="005A71BB" w:rsidP="00B5009A">
            <w:pPr>
              <w:pStyle w:val="TABLENORMAL0"/>
              <w:spacing w:line="276" w:lineRule="auto"/>
              <w:ind w:left="107"/>
              <w:rPr>
                <w:sz w:val="24"/>
                <w:szCs w:val="24"/>
                <w:vertAlign w:val="superscript"/>
                <w:lang w:eastAsia="en-US"/>
              </w:rPr>
            </w:pPr>
            <w:hyperlink w:anchor="_Support_documentation_required" w:history="1">
              <w:r w:rsidRPr="005A71BB">
                <w:rPr>
                  <w:rStyle w:val="Hyperlink"/>
                  <w:sz w:val="24"/>
                  <w:szCs w:val="24"/>
                  <w:lang w:eastAsia="en-US"/>
                </w:rPr>
                <w:t>Support documentation required</w:t>
              </w:r>
            </w:hyperlink>
            <w:r w:rsidRPr="00AD7640">
              <w:rPr>
                <w:sz w:val="24"/>
                <w:szCs w:val="24"/>
                <w:lang w:eastAsia="en-US"/>
              </w:rPr>
              <w:t xml:space="preserve"> </w:t>
            </w:r>
          </w:p>
        </w:tc>
      </w:tr>
      <w:bookmarkEnd w:id="76"/>
      <w:tr w:rsidR="00D70E0F" w14:paraId="6D1C8E1F" w14:textId="77777777" w:rsidTr="69640E21">
        <w:trPr>
          <w:trHeight w:val="55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AB4E" w14:textId="123DBEF8" w:rsidR="00FD636E" w:rsidRDefault="00D70E0F" w:rsidP="005A71BB">
            <w:pPr>
              <w:pStyle w:val="TABLENORMAL0"/>
              <w:spacing w:line="276" w:lineRule="auto"/>
              <w:ind w:left="110"/>
              <w:rPr>
                <w:sz w:val="24"/>
                <w:szCs w:val="24"/>
                <w:lang w:eastAsia="en-US"/>
              </w:rPr>
            </w:pPr>
            <w:r>
              <w:rPr>
                <w:sz w:val="24"/>
                <w:szCs w:val="24"/>
                <w:lang w:eastAsia="en-US"/>
              </w:rPr>
              <w:t>Review your application to</w:t>
            </w:r>
            <w:r w:rsidR="00FD636E">
              <w:rPr>
                <w:sz w:val="24"/>
                <w:szCs w:val="24"/>
                <w:lang w:eastAsia="en-US"/>
              </w:rPr>
              <w:t xml:space="preserve"> ensure it is complete:</w:t>
            </w:r>
          </w:p>
          <w:p w14:paraId="0390DF68" w14:textId="49B3F002" w:rsidR="00FD636E" w:rsidRDefault="00FD636E" w:rsidP="00FD636E">
            <w:pPr>
              <w:pStyle w:val="NormalBullets"/>
            </w:pPr>
            <w:r>
              <w:t>All mandatory questions answered</w:t>
            </w:r>
          </w:p>
          <w:p w14:paraId="170B5F2F" w14:textId="565FB187" w:rsidR="006B1588" w:rsidRDefault="006B1588" w:rsidP="00FD636E">
            <w:pPr>
              <w:pStyle w:val="NormalBullets"/>
            </w:pPr>
            <w:r>
              <w:t>The budget section balances – Total project income equals total project expend</w:t>
            </w:r>
            <w:r w:rsidR="00672869">
              <w:t xml:space="preserve">iture </w:t>
            </w:r>
          </w:p>
          <w:p w14:paraId="5ABDEF50" w14:textId="6FE7DDF4" w:rsidR="00D70E0F" w:rsidRPr="009B1343" w:rsidRDefault="00FD636E" w:rsidP="00B5009A">
            <w:pPr>
              <w:pStyle w:val="NormalBullets"/>
            </w:pPr>
            <w:r>
              <w:t>All mandatory supporting documentation attached</w:t>
            </w:r>
            <w:r w:rsidR="00D70E0F">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2ADA6" w14:textId="0EBC9378" w:rsidR="00D70E0F" w:rsidRDefault="00D70E0F" w:rsidP="005A71BB">
            <w:pPr>
              <w:pStyle w:val="TABLENORMAL0"/>
              <w:spacing w:line="276" w:lineRule="auto"/>
              <w:ind w:left="107"/>
              <w:rPr>
                <w:sz w:val="24"/>
                <w:szCs w:val="24"/>
                <w:lang w:eastAsia="en-US"/>
              </w:rPr>
            </w:pPr>
          </w:p>
        </w:tc>
      </w:tr>
      <w:tr w:rsidR="00B82247" w14:paraId="362FE1CE" w14:textId="77777777" w:rsidTr="69640E21">
        <w:trPr>
          <w:trHeight w:val="50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809B" w14:textId="53508496" w:rsidR="00B82247" w:rsidRPr="009B1343" w:rsidRDefault="005D5EF0" w:rsidP="00B5009A">
            <w:pPr>
              <w:pStyle w:val="TABLENORMAL0"/>
              <w:spacing w:line="276" w:lineRule="auto"/>
              <w:ind w:left="110"/>
              <w:rPr>
                <w:sz w:val="24"/>
                <w:szCs w:val="24"/>
                <w:lang w:eastAsia="en-US"/>
              </w:rPr>
            </w:pPr>
            <w:r w:rsidRPr="009B1343">
              <w:rPr>
                <w:sz w:val="24"/>
                <w:szCs w:val="24"/>
                <w:lang w:eastAsia="en-US"/>
              </w:rPr>
              <w:t xml:space="preserve">Submit your application via SmartyGrants by </w:t>
            </w:r>
            <w:r w:rsidR="00AB1D72">
              <w:rPr>
                <w:sz w:val="24"/>
                <w:szCs w:val="24"/>
                <w:lang w:eastAsia="en-US"/>
              </w:rPr>
              <w:t>the closing date</w:t>
            </w:r>
            <w:r w:rsidR="00B228CD" w:rsidRPr="009B1343">
              <w:rPr>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FBF1" w14:textId="23EB4DE1" w:rsidR="00AB1D72" w:rsidRDefault="00AB1D72" w:rsidP="005F5F2F">
            <w:pPr>
              <w:pStyle w:val="TABLENORMAL0"/>
              <w:spacing w:line="276" w:lineRule="auto"/>
              <w:ind w:left="107"/>
              <w:rPr>
                <w:sz w:val="24"/>
                <w:szCs w:val="24"/>
              </w:rPr>
            </w:pPr>
            <w:r>
              <w:rPr>
                <w:sz w:val="24"/>
                <w:szCs w:val="24"/>
              </w:rPr>
              <w:t>Check the</w:t>
            </w:r>
            <w:r w:rsidR="004701F3">
              <w:rPr>
                <w:sz w:val="24"/>
                <w:szCs w:val="24"/>
              </w:rPr>
              <w:t xml:space="preserve"> current</w:t>
            </w:r>
            <w:r>
              <w:rPr>
                <w:sz w:val="24"/>
                <w:szCs w:val="24"/>
              </w:rPr>
              <w:t xml:space="preserve"> </w:t>
            </w:r>
            <w:hyperlink r:id="rId42" w:history="1">
              <w:r w:rsidRPr="00182CCC">
                <w:rPr>
                  <w:rStyle w:val="Hyperlink"/>
                  <w:sz w:val="24"/>
                  <w:szCs w:val="24"/>
                </w:rPr>
                <w:t>program timeframes</w:t>
              </w:r>
            </w:hyperlink>
            <w:r w:rsidR="004701F3">
              <w:rPr>
                <w:sz w:val="24"/>
                <w:szCs w:val="24"/>
              </w:rPr>
              <w:t>.</w:t>
            </w:r>
          </w:p>
          <w:p w14:paraId="1200725C" w14:textId="6E54177D" w:rsidR="00B82247" w:rsidRPr="009B1343" w:rsidRDefault="00A231B1" w:rsidP="005F5F2F">
            <w:pPr>
              <w:pStyle w:val="TABLENORMAL0"/>
              <w:spacing w:line="276" w:lineRule="auto"/>
              <w:ind w:left="107"/>
              <w:rPr>
                <w:sz w:val="24"/>
                <w:szCs w:val="24"/>
                <w:lang w:eastAsia="en-US"/>
              </w:rPr>
            </w:pPr>
            <w:r w:rsidRPr="005F5F2F">
              <w:rPr>
                <w:sz w:val="24"/>
                <w:szCs w:val="24"/>
              </w:rPr>
              <w:t>Late applications will not be accepted.</w:t>
            </w:r>
          </w:p>
        </w:tc>
      </w:tr>
    </w:tbl>
    <w:p w14:paraId="0ACCDD28" w14:textId="3EE348C4" w:rsidR="00B82247" w:rsidRDefault="00B82247" w:rsidP="00B82247">
      <w:pPr>
        <w:pStyle w:val="Caption"/>
      </w:pPr>
      <w:r>
        <w:t xml:space="preserve">Table </w:t>
      </w:r>
      <w:r w:rsidR="00E2023F">
        <w:t>5</w:t>
      </w:r>
      <w:r>
        <w:t xml:space="preserve">:  Checklist - Preparing </w:t>
      </w:r>
      <w:r w:rsidR="00E2023F">
        <w:t>y</w:t>
      </w:r>
      <w:r>
        <w:t xml:space="preserve">our </w:t>
      </w:r>
      <w:r w:rsidR="00E2023F">
        <w:t>a</w:t>
      </w:r>
      <w:r>
        <w:t>pplication</w:t>
      </w:r>
    </w:p>
    <w:p w14:paraId="4ACC9181" w14:textId="77777777" w:rsidR="009C57F1" w:rsidRDefault="009C57F1" w:rsidP="00CD0BEE">
      <w:pPr>
        <w:pStyle w:val="Heading2"/>
      </w:pPr>
      <w:r>
        <w:br w:type="page"/>
      </w:r>
    </w:p>
    <w:p w14:paraId="122DC0B1" w14:textId="15ADE23A" w:rsidR="00B0260B" w:rsidRDefault="13741D75" w:rsidP="00CD0BEE">
      <w:pPr>
        <w:pStyle w:val="Heading2"/>
      </w:pPr>
      <w:bookmarkStart w:id="77" w:name="_Appendix_A_–"/>
      <w:bookmarkStart w:id="78" w:name="_Toc235521275"/>
      <w:bookmarkEnd w:id="77"/>
      <w:r>
        <w:lastRenderedPageBreak/>
        <w:t>Appendix A – Definitions</w:t>
      </w:r>
      <w:bookmarkEnd w:id="78"/>
    </w:p>
    <w:p w14:paraId="342E1173" w14:textId="77777777" w:rsidR="00F957EA" w:rsidRDefault="00F957EA" w:rsidP="00F957EA">
      <w:r w:rsidRPr="00CA69BA">
        <w:rPr>
          <w:b/>
          <w:bCs/>
        </w:rPr>
        <w:t xml:space="preserve">ABN (Australian Business Number): </w:t>
      </w:r>
      <w:r w:rsidRPr="00CA69BA">
        <w:t>The Australian Business Number is a number used to identify a business or organisation for tax and Australian Government purposes. An ABN for the organisation or for the Auspice organisation must be provided in the grant application.</w:t>
      </w:r>
    </w:p>
    <w:p w14:paraId="3A23E335" w14:textId="59D77423" w:rsidR="006E7998" w:rsidRPr="000643F8" w:rsidRDefault="005C24A0" w:rsidP="006E7998">
      <w:r w:rsidRPr="000643F8">
        <w:rPr>
          <w:b/>
          <w:bCs/>
        </w:rPr>
        <w:t xml:space="preserve">Assessment Panel: </w:t>
      </w:r>
      <w:r w:rsidR="006E7998" w:rsidRPr="000643F8">
        <w:t xml:space="preserve">Your application will be assessed by a Council assessment panel consisting of </w:t>
      </w:r>
      <w:r w:rsidR="002029A0">
        <w:t>five</w:t>
      </w:r>
      <w:r w:rsidR="006E7998" w:rsidRPr="000643F8">
        <w:t xml:space="preserve"> Council Officers with relevant expertise across related portfolios and is approved by the relevant Manager and appointed on an annual basis. </w:t>
      </w:r>
    </w:p>
    <w:p w14:paraId="1EA2442E" w14:textId="5E4B9129" w:rsidR="005C24A0" w:rsidRPr="00CA69BA" w:rsidRDefault="005C24A0" w:rsidP="00F957EA">
      <w:r>
        <w:t>Care is taken to ensure that representatives do not have a conflict of interest in assessing and recommending Grants for funding.</w:t>
      </w:r>
    </w:p>
    <w:p w14:paraId="32E2AE94" w14:textId="286CA46E" w:rsidR="00853C6B" w:rsidRPr="00CA69BA" w:rsidRDefault="00F957EA" w:rsidP="00F957EA">
      <w:r w:rsidRPr="00511457">
        <w:rPr>
          <w:b/>
          <w:bCs/>
        </w:rPr>
        <w:t xml:space="preserve">Acquittal Report: </w:t>
      </w:r>
      <w:r w:rsidRPr="00511457">
        <w:t xml:space="preserve">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w:t>
      </w:r>
      <w:r w:rsidR="00A67FE1" w:rsidRPr="00511457">
        <w:t xml:space="preserve">Grant recipients will be required to provide a testimonial or photo as supporting documentation along with their acquittal report. </w:t>
      </w:r>
      <w:r w:rsidR="001209E5" w:rsidRPr="00511457">
        <w:t>The acquittal report also includes</w:t>
      </w:r>
      <w:r w:rsidRPr="00511457">
        <w:t xml:space="preserve"> a financial statement detailing how the funds were spent. </w:t>
      </w:r>
      <w:r w:rsidR="00853C6B" w:rsidRPr="00511457">
        <w:t>The financial statement must include a detailed budget breakdown.</w:t>
      </w:r>
      <w:r w:rsidR="0085080B">
        <w:t xml:space="preserve"> Acquittal Reports will be </w:t>
      </w:r>
      <w:r w:rsidR="00AF3EA5">
        <w:t xml:space="preserve">due </w:t>
      </w:r>
      <w:r w:rsidR="00AA4BD7">
        <w:t>8</w:t>
      </w:r>
      <w:r w:rsidR="00AF3EA5">
        <w:t xml:space="preserve"> weeks after project completion or at the end of the funding period</w:t>
      </w:r>
      <w:r w:rsidR="0085080B">
        <w:t>.</w:t>
      </w:r>
      <w:r w:rsidR="00853C6B" w:rsidRPr="00511457">
        <w:t xml:space="preserve"> </w:t>
      </w:r>
      <w:r w:rsidRPr="00511457">
        <w:t>Organisations that do not submit their acquittal report will be listed and may not be eligible for further funding from the City of Port Phillip.</w:t>
      </w:r>
    </w:p>
    <w:p w14:paraId="303F569F" w14:textId="24FC4D26" w:rsidR="00F957EA" w:rsidRPr="00CA69BA" w:rsidRDefault="00F957EA" w:rsidP="00F957EA">
      <w:r w:rsidRPr="00CA69BA">
        <w:rPr>
          <w:b/>
          <w:bCs/>
        </w:rPr>
        <w:t xml:space="preserve">Community: </w:t>
      </w:r>
      <w:r w:rsidRPr="00CA69BA">
        <w:t xml:space="preserve">For the purposes of the </w:t>
      </w:r>
      <w:r w:rsidR="00C96552">
        <w:t>Cultural Development Fund Grant</w:t>
      </w:r>
      <w:r w:rsidRPr="00CA69BA">
        <w:t>s, ‘community’ refers to people living, working, visiting and studying within the City of Port Phillip.</w:t>
      </w:r>
    </w:p>
    <w:p w14:paraId="08EAEDB4" w14:textId="19245B46" w:rsidR="00F957EA" w:rsidRPr="00CA69BA" w:rsidRDefault="00F957EA" w:rsidP="00F957EA">
      <w:r w:rsidRPr="00CA69BA">
        <w:rPr>
          <w:b/>
          <w:bCs/>
        </w:rPr>
        <w:t xml:space="preserve">Conflict of Interest: </w:t>
      </w:r>
      <w:r w:rsidRPr="00CA69BA">
        <w:t xml:space="preserve">A conflict of interest occurs if a member of the </w:t>
      </w:r>
      <w:r w:rsidR="008B50E8">
        <w:t>A</w:t>
      </w:r>
      <w:r w:rsidRPr="00CA69BA">
        <w:t xml:space="preserve">ssessment </w:t>
      </w:r>
      <w:r w:rsidR="008B50E8">
        <w:t>P</w:t>
      </w:r>
      <w:r w:rsidRPr="00CA69BA">
        <w:t>anel has something to personally gain from the grant application. It also extends to providing family and close friends with preference.</w:t>
      </w:r>
    </w:p>
    <w:p w14:paraId="37ADC0FF" w14:textId="77777777" w:rsidR="00F957EA" w:rsidRPr="00CA69BA" w:rsidRDefault="00F957EA" w:rsidP="00F957EA">
      <w:r w:rsidRPr="00CA69BA">
        <w:rPr>
          <w:b/>
          <w:bCs/>
        </w:rPr>
        <w:t xml:space="preserve">Council: </w:t>
      </w:r>
      <w:r w:rsidRPr="00CA69BA">
        <w:t xml:space="preserve">The City of Port Phillip is defined as a geographical area </w:t>
      </w:r>
      <w:proofErr w:type="gramStart"/>
      <w:r w:rsidRPr="00CA69BA">
        <w:t>and also</w:t>
      </w:r>
      <w:proofErr w:type="gramEnd"/>
      <w:r w:rsidRPr="00CA69BA">
        <w:t xml:space="preserve"> the entity which has the authority to make decisions on behalf of the City of Port Phillip.</w:t>
      </w:r>
    </w:p>
    <w:p w14:paraId="1FD1CFBB" w14:textId="53A4F4D3" w:rsidR="00F957EA" w:rsidRPr="00CA69BA" w:rsidRDefault="00F957EA" w:rsidP="00F957EA">
      <w:r w:rsidRPr="00CA69BA">
        <w:rPr>
          <w:b/>
          <w:bCs/>
        </w:rPr>
        <w:t xml:space="preserve">Funding </w:t>
      </w:r>
      <w:r w:rsidR="00A67FE1">
        <w:rPr>
          <w:b/>
          <w:bCs/>
        </w:rPr>
        <w:t>Agreement</w:t>
      </w:r>
      <w:r w:rsidRPr="00CA69BA">
        <w:rPr>
          <w:b/>
          <w:bCs/>
        </w:rPr>
        <w:t xml:space="preserve">: </w:t>
      </w:r>
      <w:r w:rsidRPr="00CA69BA">
        <w:t xml:space="preserve">A Funding </w:t>
      </w:r>
      <w:r w:rsidR="00A67FE1">
        <w:t>Agreement</w:t>
      </w:r>
      <w:r w:rsidR="00A67FE1" w:rsidRPr="00CA69BA">
        <w:t xml:space="preserve"> </w:t>
      </w:r>
      <w:r w:rsidRPr="00CA69BA">
        <w:t xml:space="preserve">is a formal document stating the purpose of the funding, the financial amount, and the conditions attached to the grant. It also defines the rights and responsibilities of the grant recipient and Council. Once signed, recipients are under a legal obligation to comply with the stated terms and conditions. A Funding </w:t>
      </w:r>
      <w:r w:rsidR="00A67FE1">
        <w:t>Agreement</w:t>
      </w:r>
      <w:r w:rsidR="00A67FE1" w:rsidRPr="00CA69BA">
        <w:t xml:space="preserve"> </w:t>
      </w:r>
      <w:r w:rsidRPr="00CA69BA">
        <w:t>will be issued to successful applicants for amounts over $2</w:t>
      </w:r>
      <w:r w:rsidR="00A67FE1">
        <w:t>,</w:t>
      </w:r>
      <w:r w:rsidRPr="00CA69BA">
        <w:t>000.</w:t>
      </w:r>
    </w:p>
    <w:p w14:paraId="4F1AEB49" w14:textId="77777777" w:rsidR="00F957EA" w:rsidRPr="00CA69BA" w:rsidRDefault="00F957EA" w:rsidP="00F957EA">
      <w:r w:rsidRPr="00CA69BA">
        <w:rPr>
          <w:b/>
          <w:bCs/>
        </w:rPr>
        <w:t xml:space="preserve">Grant: </w:t>
      </w:r>
      <w:r w:rsidRPr="00CA69BA">
        <w:t>A grant is a sum of money awarded to an organisation for a specified purpose.</w:t>
      </w:r>
    </w:p>
    <w:p w14:paraId="56C12BC1" w14:textId="646D811C" w:rsidR="00F957EA" w:rsidRPr="002740CA" w:rsidRDefault="00F957EA" w:rsidP="00F957EA">
      <w:bookmarkStart w:id="79" w:name="_Hlk51768018"/>
      <w:bookmarkStart w:id="80" w:name="_Hlk51767796"/>
      <w:r w:rsidRPr="00F93707">
        <w:rPr>
          <w:b/>
          <w:bCs/>
        </w:rPr>
        <w:t xml:space="preserve">GST (Goods and Services Tax): </w:t>
      </w:r>
      <w:r w:rsidRPr="00F93707">
        <w:t xml:space="preserve">Organisations are strongly encouraged to establish their responsibilities in relation to their GST status and indicate on the application form what </w:t>
      </w:r>
      <w:r w:rsidRPr="00F93707">
        <w:lastRenderedPageBreak/>
        <w:t>that status is. Successful organisations with an ABN and registered for GST will</w:t>
      </w:r>
      <w:r w:rsidR="004B2A95">
        <w:t xml:space="preserve"> either submit a grant tax invoice or </w:t>
      </w:r>
      <w:r w:rsidRPr="00F93707">
        <w:t>receive a Recipient Created Tax Invoice, for their grant, plus 10% GST.</w:t>
      </w:r>
      <w:bookmarkEnd w:id="79"/>
      <w:r w:rsidRPr="00F93707">
        <w:t xml:space="preserve">  Successful organisations with an ABN and not registered for GST will not receive a Recipient Created Tax Invoice or 10% GST for their grant. These organisations will receive only their grant amount.</w:t>
      </w:r>
    </w:p>
    <w:bookmarkEnd w:id="80"/>
    <w:p w14:paraId="1749098E" w14:textId="6A9DC884" w:rsidR="000B1743" w:rsidRDefault="00F957EA" w:rsidP="00F957EA">
      <w:r w:rsidRPr="00CA69BA">
        <w:rPr>
          <w:b/>
          <w:bCs/>
        </w:rPr>
        <w:t xml:space="preserve">In-kind Contributions: </w:t>
      </w:r>
      <w:r w:rsidRPr="00CA69BA">
        <w:t>An in-kind contribution is the ‘no</w:t>
      </w:r>
      <w:r w:rsidR="02FA67D1" w:rsidRPr="00CA69BA">
        <w:t>n-</w:t>
      </w:r>
      <w:r w:rsidRPr="00CA69BA">
        <w:t xml:space="preserve">cash’ contribution made by the applicant that can be allocated a financial value, </w:t>
      </w:r>
      <w:r w:rsidR="001A5744">
        <w:t>su</w:t>
      </w:r>
      <w:r w:rsidR="009F550D">
        <w:t>ch as</w:t>
      </w:r>
      <w:r w:rsidRPr="00CA69BA">
        <w:t xml:space="preserve"> volunteer services.  Applications with in-kind contribution will be viewed</w:t>
      </w:r>
      <w:r w:rsidRPr="00CA69BA">
        <w:rPr>
          <w:spacing w:val="-5"/>
        </w:rPr>
        <w:t xml:space="preserve"> </w:t>
      </w:r>
      <w:r w:rsidRPr="00CA69BA">
        <w:t>favourably.</w:t>
      </w:r>
    </w:p>
    <w:p w14:paraId="7F782E9B" w14:textId="5EC2D5F5" w:rsidR="00F957EA" w:rsidRPr="00CA69BA" w:rsidRDefault="00F957EA" w:rsidP="00F957EA">
      <w:r w:rsidRPr="00CA69BA">
        <w:rPr>
          <w:b/>
          <w:bCs/>
        </w:rPr>
        <w:t xml:space="preserve">Incorporated Organisation: </w:t>
      </w:r>
      <w:r w:rsidRPr="00CA69BA">
        <w:t xml:space="preserve">An organisation that is a legal entity and has a legal structure. The organisation must be registered with Consumer Affairs Victoria. For more </w:t>
      </w:r>
      <w:proofErr w:type="gramStart"/>
      <w:r w:rsidRPr="00CA69BA">
        <w:t>information</w:t>
      </w:r>
      <w:proofErr w:type="gramEnd"/>
      <w:r w:rsidRPr="00CA69BA">
        <w:t xml:space="preserve"> please contact Consumer Affairs Victoria or phone 1300 558 181</w:t>
      </w:r>
      <w:r w:rsidR="009F550D">
        <w:t>.</w:t>
      </w:r>
      <w:r w:rsidRPr="00CA69BA">
        <w:t xml:space="preserve"> </w:t>
      </w:r>
    </w:p>
    <w:p w14:paraId="40A0F0E3" w14:textId="5926C6B0" w:rsidR="00F957EA" w:rsidRDefault="00F957EA" w:rsidP="00F957EA">
      <w:bookmarkStart w:id="81"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recipient</w:t>
      </w:r>
      <w:r w:rsidR="007A3F4E">
        <w:t>:</w:t>
      </w:r>
    </w:p>
    <w:p w14:paraId="7946029D" w14:textId="77777777" w:rsidR="00F957EA" w:rsidRPr="00CA69BA" w:rsidRDefault="00F957EA" w:rsidP="004B203B">
      <w:pPr>
        <w:pStyle w:val="ListParagraph"/>
        <w:rPr>
          <w:color w:val="000000"/>
        </w:rPr>
      </w:pPr>
      <w:r w:rsidRPr="00CA69BA">
        <w:t>failed to meet terms and conditions of funding</w:t>
      </w:r>
      <w:r w:rsidRPr="00CA69BA">
        <w:rPr>
          <w:spacing w:val="-9"/>
        </w:rPr>
        <w:t xml:space="preserve"> </w:t>
      </w:r>
      <w:r w:rsidRPr="00CA69BA">
        <w:t>deed</w:t>
      </w:r>
    </w:p>
    <w:p w14:paraId="0DDF2C30" w14:textId="77777777" w:rsidR="00F957EA" w:rsidRPr="00CA69BA" w:rsidRDefault="00F957EA" w:rsidP="004B203B">
      <w:pPr>
        <w:pStyle w:val="ListParagraph"/>
        <w:rPr>
          <w:color w:val="000000"/>
        </w:rPr>
      </w:pPr>
      <w:r w:rsidRPr="00CA69BA">
        <w:t>is insolvent</w:t>
      </w:r>
    </w:p>
    <w:p w14:paraId="45AED753" w14:textId="77777777" w:rsidR="00F957EA" w:rsidRPr="00CA69BA" w:rsidRDefault="00F957EA" w:rsidP="004B203B">
      <w:pPr>
        <w:pStyle w:val="ListParagraph"/>
        <w:rPr>
          <w:color w:val="000000"/>
        </w:rPr>
      </w:pPr>
      <w:r w:rsidRPr="00CA69BA">
        <w:t>is under legal investigation</w:t>
      </w:r>
    </w:p>
    <w:p w14:paraId="5F87533B" w14:textId="77777777" w:rsidR="00F957EA" w:rsidRPr="00CA69BA" w:rsidRDefault="00F957EA" w:rsidP="004B203B">
      <w:pPr>
        <w:pStyle w:val="ListParagraph"/>
        <w:rPr>
          <w:color w:val="000000"/>
        </w:rPr>
      </w:pPr>
      <w:r w:rsidRPr="00CA69BA">
        <w:t>failed to lodge a satisfactory acquittal (a satisfactory acquittal demonstrates that the selection criteria of the program were met, and the financial expenditure of the project was spent appropriately and/or unspent funds returned to</w:t>
      </w:r>
      <w:r w:rsidRPr="00CA69BA">
        <w:rPr>
          <w:spacing w:val="-7"/>
        </w:rPr>
        <w:t xml:space="preserve"> </w:t>
      </w:r>
      <w:r w:rsidRPr="00CA69BA">
        <w:t>Council)</w:t>
      </w:r>
    </w:p>
    <w:p w14:paraId="6590F498" w14:textId="77777777" w:rsidR="00F957EA" w:rsidRPr="00CA69BA" w:rsidRDefault="00F957EA" w:rsidP="004B203B">
      <w:pPr>
        <w:pStyle w:val="ListParagraph"/>
        <w:rPr>
          <w:color w:val="000000"/>
        </w:rPr>
      </w:pPr>
      <w:r w:rsidRPr="00CA69BA">
        <w:t>did not complete the project and failed to lodge an</w:t>
      </w:r>
      <w:r w:rsidRPr="00CA69BA">
        <w:rPr>
          <w:spacing w:val="-11"/>
        </w:rPr>
        <w:t xml:space="preserve"> </w:t>
      </w:r>
      <w:r w:rsidRPr="00CA69BA">
        <w:t>acquittal</w:t>
      </w:r>
    </w:p>
    <w:p w14:paraId="05045638" w14:textId="572EA54B" w:rsidR="00F957EA" w:rsidRPr="00CA69BA" w:rsidRDefault="00F957EA" w:rsidP="004B203B">
      <w:pPr>
        <w:pStyle w:val="ListParagraph"/>
        <w:rPr>
          <w:color w:val="000000"/>
        </w:rPr>
      </w:pPr>
      <w:r w:rsidRPr="00CA69BA">
        <w:t>completed the project and failed to lodge an</w:t>
      </w:r>
      <w:r w:rsidRPr="00CA69BA">
        <w:rPr>
          <w:spacing w:val="-9"/>
        </w:rPr>
        <w:t xml:space="preserve"> </w:t>
      </w:r>
      <w:r w:rsidRPr="00CA69BA">
        <w:t>acquittal</w:t>
      </w:r>
      <w:r w:rsidR="00CA47A5">
        <w:t>.</w:t>
      </w:r>
    </w:p>
    <w:bookmarkEnd w:id="81"/>
    <w:p w14:paraId="126C6482" w14:textId="30CDACAC" w:rsidR="00F957EA" w:rsidRPr="00CA69BA" w:rsidRDefault="00F957EA" w:rsidP="00F957EA">
      <w:r w:rsidRPr="00CA69BA">
        <w:rPr>
          <w:b/>
          <w:bCs/>
        </w:rPr>
        <w:t xml:space="preserve">Not for Profit (NFP) Organisation: </w:t>
      </w:r>
      <w:r w:rsidR="009936C0" w:rsidRPr="00CA69BA">
        <w:t>An</w:t>
      </w:r>
      <w:r w:rsidRPr="00CA69BA">
        <w:t xml:space="preserve"> NFP is an organisation that does not distribute any profit </w:t>
      </w:r>
      <w:r w:rsidR="009936C0" w:rsidRPr="00CA69BA">
        <w:t>to</w:t>
      </w:r>
      <w:r w:rsidRPr="00CA69BA">
        <w:t xml:space="preserve"> an individual, its members and or shareholders. Any profit from the organisation will be directed back into the organisation and its activities.</w:t>
      </w:r>
    </w:p>
    <w:p w14:paraId="6358919C" w14:textId="77777777" w:rsidR="00F957EA" w:rsidRPr="00CA69BA" w:rsidRDefault="00F957EA" w:rsidP="00F957EA">
      <w:r w:rsidRPr="00CA69BA">
        <w:rPr>
          <w:b/>
          <w:bCs/>
        </w:rPr>
        <w:t xml:space="preserve">Objectives / Aims: </w:t>
      </w:r>
      <w:r w:rsidRPr="00CA69BA">
        <w:t>An objective/ aim states the overall goals of the project.</w:t>
      </w:r>
    </w:p>
    <w:p w14:paraId="57D70B53" w14:textId="77777777" w:rsidR="00F957EA" w:rsidRPr="00CA69BA" w:rsidRDefault="00F957EA" w:rsidP="00F957EA">
      <w:r w:rsidRPr="00CA69BA">
        <w:rPr>
          <w:b/>
          <w:bCs/>
        </w:rPr>
        <w:t xml:space="preserve">Outcomes: </w:t>
      </w:r>
      <w:r w:rsidRPr="00CA69BA">
        <w:t>Outcomes describe the specific results of the project.</w:t>
      </w:r>
    </w:p>
    <w:p w14:paraId="6FDA6071" w14:textId="6AECCCA7" w:rsidR="00F957EA" w:rsidRPr="00CA69BA" w:rsidRDefault="00F957EA" w:rsidP="00F957EA">
      <w:r w:rsidRPr="00CA69BA">
        <w:rPr>
          <w:b/>
          <w:bCs/>
        </w:rPr>
        <w:t xml:space="preserve">Project Status Report: </w:t>
      </w:r>
      <w:bookmarkStart w:id="82" w:name="_Hlk159227621"/>
      <w:r w:rsidR="004B2A95">
        <w:rPr>
          <w:b/>
          <w:bCs/>
        </w:rPr>
        <w:t xml:space="preserve"> </w:t>
      </w:r>
      <w:r w:rsidR="004B2A95" w:rsidRPr="004B2A95">
        <w:t xml:space="preserve">An </w:t>
      </w:r>
      <w:r w:rsidRPr="00CA69BA">
        <w:t xml:space="preserve">online Project Status Report must be submitted </w:t>
      </w:r>
      <w:r w:rsidR="00CE7259">
        <w:t xml:space="preserve">in SmartyGrants </w:t>
      </w:r>
      <w:r w:rsidRPr="00CA69BA">
        <w:t xml:space="preserve">if </w:t>
      </w:r>
      <w:r w:rsidR="004B2A95">
        <w:t xml:space="preserve">an acquittal report </w:t>
      </w:r>
      <w:r w:rsidRPr="00CA69BA">
        <w:t>Acquittal Report has not been submitted</w:t>
      </w:r>
      <w:r w:rsidR="004B2A95">
        <w:t xml:space="preserve"> at the time of making a new application</w:t>
      </w:r>
      <w:r w:rsidR="00A40843">
        <w:t>.</w:t>
      </w:r>
    </w:p>
    <w:bookmarkEnd w:id="82"/>
    <w:p w14:paraId="27B2C178" w14:textId="5053DC9B" w:rsidR="00F957EA" w:rsidRDefault="00F957EA" w:rsidP="00F957EA">
      <w:pPr>
        <w:rPr>
          <w:rStyle w:val="Hyperlink"/>
        </w:rPr>
      </w:pPr>
      <w:r w:rsidRPr="00CA69BA">
        <w:rPr>
          <w:b/>
          <w:bCs/>
        </w:rPr>
        <w:t xml:space="preserve">Project Variation Report: </w:t>
      </w:r>
      <w:r w:rsidRPr="00CA69BA">
        <w:t xml:space="preserve">A Project Variation Report is to be submitted </w:t>
      </w:r>
      <w:r w:rsidR="1453E2B5">
        <w:t>only</w:t>
      </w:r>
      <w:r w:rsidRPr="00CA69BA">
        <w:t xml:space="preserve"> if there is to be a substantial variation or change to the</w:t>
      </w:r>
      <w:r w:rsidR="004B2A95">
        <w:t>.</w:t>
      </w:r>
      <w:r w:rsidRPr="00CA69BA">
        <w:t xml:space="preserve"> project from the initial project application. Funded organisations wishing to submit a Project Variation Report must first contact the </w:t>
      </w:r>
      <w:r w:rsidR="57358871">
        <w:t xml:space="preserve">Arts </w:t>
      </w:r>
      <w:r w:rsidRPr="00CA69BA">
        <w:t xml:space="preserve">Grants and Funding Officer on 9209 </w:t>
      </w:r>
      <w:r w:rsidR="00A67FE1">
        <w:t>6777</w:t>
      </w:r>
      <w:r w:rsidR="00A67FE1" w:rsidRPr="00CA69BA">
        <w:t xml:space="preserve"> </w:t>
      </w:r>
      <w:r w:rsidRPr="00CA69BA">
        <w:t xml:space="preserve">or </w:t>
      </w:r>
      <w:hyperlink r:id="rId43">
        <w:r w:rsidRPr="634383DA">
          <w:rPr>
            <w:rStyle w:val="Hyperlink"/>
          </w:rPr>
          <w:t>grants@portphillip.vic.gov.au</w:t>
        </w:r>
      </w:hyperlink>
    </w:p>
    <w:p w14:paraId="72F0B42A" w14:textId="77777777" w:rsidR="00102E8F" w:rsidRDefault="00102E8F">
      <w:pPr>
        <w:spacing w:line="259" w:lineRule="auto"/>
        <w:rPr>
          <w:b/>
          <w:color w:val="005467"/>
          <w:sz w:val="36"/>
          <w:szCs w:val="32"/>
        </w:rPr>
      </w:pPr>
      <w:r>
        <w:br w:type="page"/>
      </w:r>
    </w:p>
    <w:p w14:paraId="6B179C71" w14:textId="269F1686" w:rsidR="00B0260B" w:rsidRDefault="13741D75" w:rsidP="00CD0BEE">
      <w:pPr>
        <w:pStyle w:val="Heading2"/>
      </w:pPr>
      <w:bookmarkStart w:id="83" w:name="_Appendix_B_–"/>
      <w:bookmarkStart w:id="84" w:name="_Toc235521276"/>
      <w:bookmarkEnd w:id="83"/>
      <w:r>
        <w:lastRenderedPageBreak/>
        <w:t xml:space="preserve">Appendix B – City of Port Phillip </w:t>
      </w:r>
      <w:r w:rsidR="46D70F95">
        <w:t>m</w:t>
      </w:r>
      <w:r>
        <w:t>ap</w:t>
      </w:r>
      <w:bookmarkEnd w:id="84"/>
    </w:p>
    <w:p w14:paraId="1481A97E" w14:textId="74020D7E" w:rsidR="00F957EA" w:rsidRDefault="00F07CB6" w:rsidP="00F957EA">
      <w:hyperlink r:id="rId44" w:history="1">
        <w:r w:rsidRPr="00F07CB6">
          <w:rPr>
            <w:rStyle w:val="Hyperlink"/>
            <w:rFonts w:eastAsiaTheme="minorEastAsia"/>
            <w:szCs w:val="24"/>
            <w:lang w:eastAsia="en-AU"/>
          </w:rPr>
          <w:t>Digital maps</w:t>
        </w:r>
      </w:hyperlink>
      <w:r w:rsidR="00656A1F">
        <w:rPr>
          <w:rStyle w:val="FootnoteReference"/>
          <w:rFonts w:eastAsiaTheme="minorEastAsia"/>
          <w:color w:val="0563C1" w:themeColor="hyperlink"/>
          <w:szCs w:val="24"/>
          <w:u w:val="single"/>
          <w:lang w:eastAsia="en-AU"/>
        </w:rPr>
        <w:footnoteReference w:id="9"/>
      </w:r>
      <w:r>
        <w:rPr>
          <w:rStyle w:val="BodyTextChar"/>
          <w:sz w:val="24"/>
          <w:szCs w:val="24"/>
        </w:rPr>
        <w:t xml:space="preserve"> </w:t>
      </w:r>
      <w:r w:rsidR="00F957EA" w:rsidRPr="000E44D1">
        <w:rPr>
          <w:rStyle w:val="BodyTextChar"/>
          <w:sz w:val="24"/>
          <w:szCs w:val="24"/>
        </w:rPr>
        <w:t>of Port Phillip</w:t>
      </w:r>
      <w:r w:rsidR="00B5264A">
        <w:rPr>
          <w:rStyle w:val="BodyTextChar"/>
          <w:sz w:val="24"/>
          <w:szCs w:val="24"/>
        </w:rPr>
        <w:t xml:space="preserve"> are also available. </w:t>
      </w:r>
    </w:p>
    <w:p w14:paraId="5C40D2EA" w14:textId="64007C10" w:rsidR="00F957EA" w:rsidRPr="00F957EA" w:rsidRDefault="00F957EA" w:rsidP="00F957EA">
      <w:r>
        <w:rPr>
          <w:noProof/>
        </w:rPr>
        <w:drawing>
          <wp:inline distT="0" distB="0" distL="0" distR="0" wp14:anchorId="01A44E5A" wp14:editId="4947D218">
            <wp:extent cx="4356000" cy="6253202"/>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45">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28ECA65E" w14:textId="77777777" w:rsidR="00B34566" w:rsidRDefault="00B34566">
      <w:pPr>
        <w:spacing w:line="259" w:lineRule="auto"/>
        <w:rPr>
          <w:b/>
          <w:color w:val="005467"/>
          <w:sz w:val="36"/>
          <w:szCs w:val="32"/>
        </w:rPr>
      </w:pPr>
      <w:r>
        <w:br w:type="page"/>
      </w:r>
    </w:p>
    <w:p w14:paraId="000221A0" w14:textId="3C29C162" w:rsidR="00B0260B" w:rsidRDefault="13741D75" w:rsidP="00CD0BEE">
      <w:pPr>
        <w:pStyle w:val="Heading2"/>
      </w:pPr>
      <w:bookmarkStart w:id="85" w:name="_Appendix_C_–"/>
      <w:bookmarkStart w:id="86" w:name="_Toc235521277"/>
      <w:bookmarkEnd w:id="85"/>
      <w:r>
        <w:lastRenderedPageBreak/>
        <w:t xml:space="preserve">Appendix C – Grant </w:t>
      </w:r>
      <w:r w:rsidR="46D70F95">
        <w:t>t</w:t>
      </w:r>
      <w:r>
        <w:t xml:space="preserve">erms and </w:t>
      </w:r>
      <w:r w:rsidR="46D70F95">
        <w:t>c</w:t>
      </w:r>
      <w:r>
        <w:t>onditions</w:t>
      </w:r>
      <w:bookmarkEnd w:id="86"/>
    </w:p>
    <w:p w14:paraId="29FE13D0" w14:textId="43618E64" w:rsidR="00F957EA" w:rsidRPr="00AE5CE1" w:rsidRDefault="000E44D1" w:rsidP="004B203B">
      <w:pPr>
        <w:pStyle w:val="ListParagraph"/>
        <w:rPr>
          <w:rFonts w:ascii="Symbol" w:hAnsi="Symbol" w:cs="Symbol"/>
          <w:color w:val="000000"/>
        </w:rPr>
      </w:pPr>
      <w:r>
        <w:t xml:space="preserve">Successful </w:t>
      </w:r>
      <w:r w:rsidR="0017147B">
        <w:t xml:space="preserve">organisations </w:t>
      </w:r>
      <w:r w:rsidR="00F957EA" w:rsidRPr="00056D59">
        <w:t xml:space="preserve">will be required to sign and return the </w:t>
      </w:r>
      <w:r w:rsidR="00F957EA">
        <w:t>Funding Agreement</w:t>
      </w:r>
      <w:r w:rsidR="008E68AF">
        <w:t xml:space="preserve"> for grant amounts over $2,000</w:t>
      </w:r>
      <w:r w:rsidR="00F957EA" w:rsidRPr="00056D59">
        <w:t>.</w:t>
      </w:r>
      <w:r w:rsidR="00570691">
        <w:t xml:space="preserve"> </w:t>
      </w:r>
    </w:p>
    <w:p w14:paraId="134AE523" w14:textId="7841A86F" w:rsidR="00F957EA" w:rsidRPr="00AE5CE1" w:rsidRDefault="00F957EA" w:rsidP="004B203B">
      <w:pPr>
        <w:pStyle w:val="ListParagraph"/>
        <w:rPr>
          <w:rFonts w:ascii="Symbol" w:hAnsi="Symbol" w:cs="Symbol"/>
          <w:color w:val="000000"/>
        </w:rPr>
      </w:pPr>
      <w:r w:rsidRPr="00056D59">
        <w:t xml:space="preserve">Funded organisations must provide a Project Acquittal Report </w:t>
      </w:r>
      <w:r w:rsidR="009C57F1">
        <w:t>eight</w:t>
      </w:r>
      <w:r w:rsidR="008D31B1">
        <w:t xml:space="preserve"> weeks</w:t>
      </w:r>
      <w:r w:rsidRPr="00056D59">
        <w:t xml:space="preserve"> after completion of</w:t>
      </w:r>
      <w:r w:rsidRPr="00056D59">
        <w:rPr>
          <w:spacing w:val="-29"/>
        </w:rPr>
        <w:t xml:space="preserve"> </w:t>
      </w:r>
      <w:r w:rsidRPr="00056D59">
        <w:rPr>
          <w:spacing w:val="2"/>
        </w:rPr>
        <w:t xml:space="preserve">the </w:t>
      </w:r>
      <w:r w:rsidRPr="00056D59">
        <w:t xml:space="preserve">project or </w:t>
      </w:r>
      <w:r w:rsidR="009E6BDB">
        <w:t>end of the funding period</w:t>
      </w:r>
      <w:r w:rsidR="008D31B1">
        <w:t xml:space="preserve"> </w:t>
      </w:r>
      <w:r w:rsidRPr="00056D59">
        <w:t xml:space="preserve">by which time all projects should be completed unless otherwise approved in writing by Council. All reports are to be submitted online via </w:t>
      </w:r>
      <w:hyperlink r:id="rId46" w:history="1">
        <w:r w:rsidRPr="00056D59">
          <w:rPr>
            <w:rStyle w:val="Hyperlink"/>
            <w:color w:val="0462C1"/>
          </w:rPr>
          <w:t>https://portphillip.smartygrants.com.au/</w:t>
        </w:r>
      </w:hyperlink>
      <w:r w:rsidRPr="00056D59">
        <w:t>.</w:t>
      </w:r>
    </w:p>
    <w:p w14:paraId="3B4529A3" w14:textId="26A0BDC3" w:rsidR="00F957EA" w:rsidRPr="00AE5CE1" w:rsidRDefault="00F957EA" w:rsidP="004B203B">
      <w:pPr>
        <w:pStyle w:val="ListParagraph"/>
        <w:rPr>
          <w:rFonts w:ascii="Symbol" w:hAnsi="Symbol" w:cs="Symbol"/>
          <w:color w:val="000000"/>
        </w:rPr>
      </w:pPr>
      <w:r w:rsidRPr="00056D59">
        <w:t>Organisations</w:t>
      </w:r>
      <w:r w:rsidRPr="00056D59">
        <w:rPr>
          <w:spacing w:val="-3"/>
        </w:rPr>
        <w:t xml:space="preserve"> </w:t>
      </w:r>
      <w:r w:rsidRPr="00056D59">
        <w:t>holding</w:t>
      </w:r>
      <w:r w:rsidRPr="00056D59">
        <w:rPr>
          <w:spacing w:val="-3"/>
        </w:rPr>
        <w:t xml:space="preserve"> </w:t>
      </w:r>
      <w:r w:rsidRPr="00056D59">
        <w:t>a</w:t>
      </w:r>
      <w:r w:rsidRPr="00056D59">
        <w:rPr>
          <w:spacing w:val="-4"/>
        </w:rPr>
        <w:t xml:space="preserve"> </w:t>
      </w:r>
      <w:r w:rsidRPr="00056D59">
        <w:t>launch</w:t>
      </w:r>
      <w:r w:rsidRPr="00056D59">
        <w:rPr>
          <w:spacing w:val="-2"/>
        </w:rPr>
        <w:t xml:space="preserve"> </w:t>
      </w:r>
      <w:r w:rsidRPr="00056D59">
        <w:t>or</w:t>
      </w:r>
      <w:r w:rsidRPr="00056D59">
        <w:rPr>
          <w:spacing w:val="-4"/>
        </w:rPr>
        <w:t xml:space="preserve"> </w:t>
      </w:r>
      <w:r w:rsidRPr="00056D59">
        <w:t>event</w:t>
      </w:r>
      <w:r w:rsidRPr="00056D59">
        <w:rPr>
          <w:spacing w:val="-5"/>
        </w:rPr>
        <w:t xml:space="preserve"> </w:t>
      </w:r>
      <w:r w:rsidRPr="00056D59">
        <w:t>for</w:t>
      </w:r>
      <w:r w:rsidRPr="00056D59">
        <w:rPr>
          <w:spacing w:val="-4"/>
        </w:rPr>
        <w:t xml:space="preserve"> </w:t>
      </w:r>
      <w:r w:rsidRPr="00056D59">
        <w:t>the</w:t>
      </w:r>
      <w:r>
        <w:t xml:space="preserve"> </w:t>
      </w:r>
      <w:r w:rsidR="00165B23">
        <w:t>funded</w:t>
      </w:r>
      <w:r w:rsidRPr="00056D59">
        <w:rPr>
          <w:spacing w:val="-4"/>
        </w:rPr>
        <w:t xml:space="preserve"> </w:t>
      </w:r>
      <w:proofErr w:type="gramStart"/>
      <w:r w:rsidRPr="00056D59">
        <w:t>project</w:t>
      </w:r>
      <w:r w:rsidR="00611361">
        <w:t>,</w:t>
      </w:r>
      <w:r w:rsidRPr="00056D59">
        <w:rPr>
          <w:spacing w:val="-5"/>
        </w:rPr>
        <w:t xml:space="preserve"> </w:t>
      </w:r>
      <w:r w:rsidRPr="00056D59">
        <w:t>and</w:t>
      </w:r>
      <w:proofErr w:type="gramEnd"/>
      <w:r w:rsidRPr="00056D59">
        <w:t xml:space="preserve"> planning to invite the Mayor/Councillors and/or Council Officers, </w:t>
      </w:r>
      <w:r w:rsidR="007F21AE">
        <w:t xml:space="preserve">must </w:t>
      </w:r>
      <w:r w:rsidR="00CB3316">
        <w:t xml:space="preserve">send </w:t>
      </w:r>
      <w:r w:rsidRPr="00056D59">
        <w:t xml:space="preserve">their invitation at least </w:t>
      </w:r>
      <w:r w:rsidR="00611361">
        <w:t>four</w:t>
      </w:r>
      <w:r w:rsidRPr="00056D59">
        <w:t xml:space="preserve"> weeks prior to the event. The relevant Council officer must be notified of this</w:t>
      </w:r>
      <w:r w:rsidRPr="00056D59">
        <w:rPr>
          <w:spacing w:val="-1"/>
        </w:rPr>
        <w:t xml:space="preserve"> </w:t>
      </w:r>
      <w:r w:rsidRPr="00056D59">
        <w:t>invitation.</w:t>
      </w:r>
    </w:p>
    <w:p w14:paraId="675B1559" w14:textId="4EEB209F" w:rsidR="00F957EA" w:rsidRPr="00AE5CE1" w:rsidRDefault="00F957EA" w:rsidP="004B203B">
      <w:pPr>
        <w:pStyle w:val="ListParagraph"/>
      </w:pPr>
      <w:r w:rsidRPr="00AE5CE1">
        <w:t xml:space="preserve">Funded organisations are required to acknowledge the City of Port Phillip in all promotional or publicity material for the funded project. The presentation of the </w:t>
      </w:r>
      <w:r w:rsidR="004E04E0">
        <w:t>City of Port Phillip</w:t>
      </w:r>
      <w:r w:rsidRPr="00AE5CE1">
        <w:t xml:space="preserve"> logo should match the involvement and relative importance Council had in the project or activity. A jpg and gif format logo along with City of Port Phillip’s style guide will be provided with the notification letter to successful applicants.  </w:t>
      </w:r>
    </w:p>
    <w:p w14:paraId="2C4EEDF2" w14:textId="2ACA1DFE" w:rsidR="00F957EA" w:rsidRPr="00AE5CE1" w:rsidRDefault="00F957EA" w:rsidP="004B203B">
      <w:pPr>
        <w:pStyle w:val="ListParagraph"/>
        <w:rPr>
          <w:rFonts w:ascii="Symbol" w:hAnsi="Symbol" w:cs="Symbol"/>
          <w:color w:val="000000"/>
        </w:rPr>
      </w:pPr>
      <w:r w:rsidRPr="00056D59">
        <w:t xml:space="preserve">Funding from the </w:t>
      </w:r>
      <w:r w:rsidR="00C96552">
        <w:t>Cultural Development Fund: Festivals and Events Grants</w:t>
      </w:r>
      <w:r w:rsidR="008D31B1">
        <w:t xml:space="preserve"> </w:t>
      </w:r>
      <w:proofErr w:type="gramStart"/>
      <w:r w:rsidRPr="00056D59">
        <w:t>requires</w:t>
      </w:r>
      <w:proofErr w:type="gramEnd"/>
      <w:r w:rsidRPr="00056D59">
        <w:t xml:space="preserve"> compliance with specific conditions prior</w:t>
      </w:r>
      <w:r w:rsidRPr="00056D59">
        <w:rPr>
          <w:spacing w:val="-31"/>
        </w:rPr>
        <w:t xml:space="preserve"> </w:t>
      </w:r>
      <w:r w:rsidRPr="00056D59">
        <w:t>to payment and verification of ABN</w:t>
      </w:r>
      <w:r w:rsidR="00A96344">
        <w:t xml:space="preserve">, </w:t>
      </w:r>
      <w:r w:rsidRPr="00056D59">
        <w:t>GST</w:t>
      </w:r>
      <w:r w:rsidRPr="00056D59">
        <w:rPr>
          <w:spacing w:val="3"/>
        </w:rPr>
        <w:t xml:space="preserve"> </w:t>
      </w:r>
      <w:r w:rsidRPr="00056D59">
        <w:t>status</w:t>
      </w:r>
      <w:r w:rsidR="00155BF3">
        <w:t>, and banking details</w:t>
      </w:r>
      <w:r w:rsidR="005671CF">
        <w:t xml:space="preserve"> (if required).</w:t>
      </w:r>
    </w:p>
    <w:p w14:paraId="0565B2B9" w14:textId="24DEBCC3" w:rsidR="00F957EA" w:rsidRDefault="00F957EA" w:rsidP="004B203B">
      <w:pPr>
        <w:pStyle w:val="ListParagraph"/>
      </w:pPr>
      <w:r w:rsidRPr="03ADE9F3">
        <w:t>The funded organisation must comply with all relevant laws</w:t>
      </w:r>
      <w:r w:rsidR="00577151" w:rsidRPr="03ADE9F3">
        <w:t>, regulations</w:t>
      </w:r>
      <w:r w:rsidRPr="03ADE9F3">
        <w:t xml:space="preserve"> and conditions. Significant State and Commonwealth legislation</w:t>
      </w:r>
      <w:r w:rsidR="00207BD3" w:rsidRPr="03ADE9F3">
        <w:t xml:space="preserve">, </w:t>
      </w:r>
      <w:r w:rsidR="00993985" w:rsidRPr="03ADE9F3">
        <w:t xml:space="preserve">regulations </w:t>
      </w:r>
      <w:r w:rsidR="00207BD3" w:rsidRPr="03ADE9F3">
        <w:t>and</w:t>
      </w:r>
      <w:r w:rsidR="00577151" w:rsidRPr="03ADE9F3">
        <w:t xml:space="preserve"> statutory authorities</w:t>
      </w:r>
      <w:r w:rsidRPr="03ADE9F3">
        <w:t xml:space="preserve"> include:</w:t>
      </w:r>
    </w:p>
    <w:p w14:paraId="495953A5" w14:textId="5ECDCB60" w:rsidR="00F957EA" w:rsidRDefault="00F957EA" w:rsidP="004B203B">
      <w:pPr>
        <w:pStyle w:val="ListParagraph"/>
      </w:pPr>
      <w:r w:rsidRPr="03ADE9F3">
        <w:t>Carer Recognition Act 2012</w:t>
      </w:r>
    </w:p>
    <w:p w14:paraId="2A5D557B" w14:textId="4D8D0216" w:rsidR="00F957EA" w:rsidRDefault="00F957EA" w:rsidP="004B203B">
      <w:pPr>
        <w:pStyle w:val="ListParagraph"/>
      </w:pPr>
      <w:r w:rsidRPr="03ADE9F3">
        <w:t>Consumer Affairs Victoria</w:t>
      </w:r>
    </w:p>
    <w:p w14:paraId="3C0BEF92" w14:textId="123420C6" w:rsidR="00F957EA" w:rsidRDefault="00F957EA" w:rsidP="004B203B">
      <w:pPr>
        <w:pStyle w:val="ListParagraph"/>
      </w:pPr>
      <w:r w:rsidRPr="03ADE9F3">
        <w:t>Charter of Human Rights and Responsibilities Act 2006</w:t>
      </w:r>
    </w:p>
    <w:p w14:paraId="7E22D723" w14:textId="0ECE473F" w:rsidR="00F957EA" w:rsidRDefault="00F957EA" w:rsidP="004B203B">
      <w:pPr>
        <w:pStyle w:val="ListParagraph"/>
      </w:pPr>
      <w:r w:rsidRPr="03ADE9F3">
        <w:t>Disability Discrimination Act 1992</w:t>
      </w:r>
    </w:p>
    <w:p w14:paraId="71076EE2" w14:textId="12A6374F" w:rsidR="00F957EA" w:rsidRDefault="00F957EA" w:rsidP="004B203B">
      <w:pPr>
        <w:pStyle w:val="ListParagraph"/>
      </w:pPr>
      <w:r w:rsidRPr="03ADE9F3">
        <w:t xml:space="preserve">Equal Opportunity Act </w:t>
      </w:r>
      <w:r w:rsidR="7679F530" w:rsidRPr="03ADE9F3">
        <w:t>2010 (Vic)</w:t>
      </w:r>
    </w:p>
    <w:p w14:paraId="13A46EBD" w14:textId="2859A224" w:rsidR="00F957EA" w:rsidRDefault="00F957EA" w:rsidP="004B203B">
      <w:pPr>
        <w:pStyle w:val="ListParagraph"/>
      </w:pPr>
      <w:r w:rsidRPr="03ADE9F3">
        <w:t>Fair Work Act 2009</w:t>
      </w:r>
    </w:p>
    <w:p w14:paraId="4F1F096D" w14:textId="3AF54276" w:rsidR="7679F530" w:rsidRDefault="7679F530" w:rsidP="004B203B">
      <w:pPr>
        <w:pStyle w:val="ListParagraph"/>
      </w:pPr>
      <w:r w:rsidRPr="03ADE9F3">
        <w:t>Occupational Health and Safety Act 2004 (Vic)</w:t>
      </w:r>
    </w:p>
    <w:p w14:paraId="38968810" w14:textId="6E32B944" w:rsidR="00F957EA" w:rsidRDefault="00F957EA" w:rsidP="004B203B">
      <w:pPr>
        <w:pStyle w:val="ListParagraph"/>
      </w:pPr>
      <w:r w:rsidRPr="03ADE9F3">
        <w:t>Privacy and Data Protection Act 2014</w:t>
      </w:r>
    </w:p>
    <w:p w14:paraId="2073160D" w14:textId="4FAAFD71" w:rsidR="00F957EA" w:rsidRDefault="00F957EA" w:rsidP="004B203B">
      <w:pPr>
        <w:pStyle w:val="ListParagraph"/>
      </w:pPr>
      <w:r w:rsidRPr="03ADE9F3">
        <w:t>Racial and Religious Tolerance Act 2001</w:t>
      </w:r>
    </w:p>
    <w:p w14:paraId="37AF925D" w14:textId="022DBF34" w:rsidR="00F957EA" w:rsidRDefault="7679F530" w:rsidP="004B203B">
      <w:pPr>
        <w:pStyle w:val="ListParagraph"/>
      </w:pPr>
      <w:r w:rsidRPr="03ADE9F3">
        <w:t xml:space="preserve">Victorian </w:t>
      </w:r>
      <w:r w:rsidR="00F957EA" w:rsidRPr="03ADE9F3">
        <w:t>Child Safe Standards</w:t>
      </w:r>
    </w:p>
    <w:p w14:paraId="2878A5AE" w14:textId="17EB7531" w:rsidR="00F957EA" w:rsidRDefault="00F957EA" w:rsidP="004B203B">
      <w:pPr>
        <w:pStyle w:val="ListParagraph"/>
      </w:pPr>
      <w:r w:rsidRPr="03ADE9F3">
        <w:t>Victorian Disability Act 2006</w:t>
      </w:r>
    </w:p>
    <w:p w14:paraId="722F6F70" w14:textId="42DE62BF" w:rsidR="008D31B1" w:rsidRDefault="008D31B1" w:rsidP="00696AFF">
      <w:pPr>
        <w:ind w:left="720"/>
      </w:pPr>
    </w:p>
    <w:sectPr w:rsidR="008D31B1" w:rsidSect="0049413B">
      <w:headerReference w:type="default" r:id="rId47"/>
      <w:footerReference w:type="default" r:id="rId48"/>
      <w:headerReference w:type="first" r:id="rId49"/>
      <w:footerReference w:type="first" r:id="rId50"/>
      <w:pgSz w:w="11906" w:h="16838"/>
      <w:pgMar w:top="2127" w:right="1134" w:bottom="1418" w:left="1134" w:header="0" w:footer="1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BE3A" w14:textId="77777777" w:rsidR="00D22D26" w:rsidRDefault="00D22D26" w:rsidP="004D04F4">
      <w:r>
        <w:separator/>
      </w:r>
    </w:p>
  </w:endnote>
  <w:endnote w:type="continuationSeparator" w:id="0">
    <w:p w14:paraId="070534D7" w14:textId="77777777" w:rsidR="00D22D26" w:rsidRDefault="00D22D26" w:rsidP="004D04F4">
      <w:r>
        <w:continuationSeparator/>
      </w:r>
    </w:p>
  </w:endnote>
  <w:endnote w:type="continuationNotice" w:id="1">
    <w:p w14:paraId="4B437F23" w14:textId="77777777" w:rsidR="00D22D26" w:rsidRDefault="00D22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6384"/>
      <w:docPartObj>
        <w:docPartGallery w:val="Page Numbers (Bottom of Page)"/>
        <w:docPartUnique/>
      </w:docPartObj>
    </w:sdtPr>
    <w:sdtEndPr>
      <w:rPr>
        <w:noProof/>
      </w:rPr>
    </w:sdtEndPr>
    <w:sdtContent>
      <w:p w14:paraId="43E7CCC0" w14:textId="4C2150EB" w:rsidR="0099717F" w:rsidRDefault="00997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22DBA" w14:textId="2AD8A119" w:rsidR="00724F9A" w:rsidRDefault="00724F9A" w:rsidP="005441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B861" w14:textId="4F464F66" w:rsidR="0049413B" w:rsidRDefault="0049413B">
    <w:pPr>
      <w:pStyle w:val="Footer"/>
      <w:jc w:val="right"/>
    </w:pPr>
    <w:r>
      <w:fldChar w:fldCharType="begin"/>
    </w:r>
    <w:r>
      <w:instrText xml:space="preserve"> PAGE   \* MERGEFORMAT </w:instrText>
    </w:r>
    <w:r>
      <w:fldChar w:fldCharType="separate"/>
    </w:r>
    <w:r>
      <w:rPr>
        <w:noProof/>
      </w:rPr>
      <w:t>2</w:t>
    </w:r>
    <w:r>
      <w:rPr>
        <w:noProof/>
      </w:rPr>
      <w:fldChar w:fldCharType="end"/>
    </w:r>
  </w:p>
  <w:p w14:paraId="38AC01DE" w14:textId="492E4B39" w:rsidR="00724F9A" w:rsidRDefault="00724F9A" w:rsidP="00D32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9A13" w14:textId="77777777" w:rsidR="00D22D26" w:rsidRDefault="00D22D26" w:rsidP="004D04F4">
      <w:r>
        <w:separator/>
      </w:r>
    </w:p>
  </w:footnote>
  <w:footnote w:type="continuationSeparator" w:id="0">
    <w:p w14:paraId="0A010A35" w14:textId="77777777" w:rsidR="00D22D26" w:rsidRDefault="00D22D26" w:rsidP="004D04F4">
      <w:r>
        <w:continuationSeparator/>
      </w:r>
    </w:p>
  </w:footnote>
  <w:footnote w:type="continuationNotice" w:id="1">
    <w:p w14:paraId="1A5B0144" w14:textId="77777777" w:rsidR="00D22D26" w:rsidRDefault="00D22D26">
      <w:pPr>
        <w:spacing w:after="0" w:line="240" w:lineRule="auto"/>
      </w:pPr>
    </w:p>
  </w:footnote>
  <w:footnote w:id="2">
    <w:p w14:paraId="3F40635F" w14:textId="2A1409F3" w:rsidR="002403E1" w:rsidRPr="002650AE" w:rsidRDefault="002403E1" w:rsidP="002403E1">
      <w:pPr>
        <w:rPr>
          <w:sz w:val="20"/>
          <w:szCs w:val="20"/>
        </w:rPr>
      </w:pPr>
      <w:r w:rsidRPr="002403E1">
        <w:rPr>
          <w:rStyle w:val="FooterChar"/>
          <w:rFonts w:eastAsia="Calibri"/>
          <w:sz w:val="20"/>
          <w:szCs w:val="20"/>
          <w:vertAlign w:val="superscript"/>
        </w:rPr>
        <w:footnoteRef/>
      </w:r>
      <w:r w:rsidRPr="002403E1">
        <w:rPr>
          <w:sz w:val="20"/>
          <w:szCs w:val="20"/>
          <w:vertAlign w:val="superscript"/>
        </w:rPr>
        <w:t xml:space="preserve"> </w:t>
      </w:r>
      <w:r w:rsidRPr="002403E1">
        <w:rPr>
          <w:rFonts w:eastAsiaTheme="minorEastAsia"/>
          <w:color w:val="auto"/>
          <w:sz w:val="20"/>
          <w:szCs w:val="20"/>
        </w:rPr>
        <w:t>Full weblink to grant writing workshops</w:t>
      </w:r>
      <w:r w:rsidRPr="002403E1">
        <w:rPr>
          <w:sz w:val="20"/>
          <w:szCs w:val="20"/>
        </w:rPr>
        <w:t xml:space="preserve"> </w:t>
      </w:r>
      <w:hyperlink r:id="rId1" w:history="1">
        <w:r w:rsidR="00ED1181" w:rsidRPr="00ED1181">
          <w:rPr>
            <w:rStyle w:val="Hyperlink"/>
            <w:sz w:val="20"/>
            <w:szCs w:val="20"/>
          </w:rPr>
          <w:t>https://www.portphillip.vic.gov.au/people-and-community/community-sector-resources</w:t>
        </w:r>
      </w:hyperlink>
    </w:p>
  </w:footnote>
  <w:footnote w:id="3">
    <w:p w14:paraId="4C98CFFF" w14:textId="104D89F9" w:rsidR="006265E4" w:rsidRPr="006265E4" w:rsidRDefault="006265E4">
      <w:pPr>
        <w:pStyle w:val="FootnoteText"/>
        <w:rPr>
          <w:lang w:val="en-US"/>
        </w:rPr>
      </w:pPr>
      <w:r>
        <w:rPr>
          <w:rStyle w:val="FootnoteReference"/>
        </w:rPr>
        <w:footnoteRef/>
      </w:r>
      <w:r>
        <w:t xml:space="preserve"> </w:t>
      </w:r>
      <w:r w:rsidR="000F711E">
        <w:rPr>
          <w:lang w:val="en-US"/>
        </w:rPr>
        <w:t xml:space="preserve">Full web link to </w:t>
      </w:r>
      <w:r w:rsidR="0041660E">
        <w:rPr>
          <w:lang w:val="en-US"/>
        </w:rPr>
        <w:t xml:space="preserve">Accessibility and Disability Inclusion Fact Sheet: </w:t>
      </w:r>
      <w:hyperlink r:id="rId2" w:history="1">
        <w:r w:rsidR="0041660E" w:rsidRPr="0041660E">
          <w:rPr>
            <w:rStyle w:val="Hyperlink"/>
            <w:lang w:val="en-US"/>
          </w:rPr>
          <w:t>https://www.portphillip.vic.gov.au/media/3m2fxcxh/accessibility-and-disability-inclusion-fact-sheet-for-grant-applicants-2021.pdf</w:t>
        </w:r>
      </w:hyperlink>
    </w:p>
  </w:footnote>
  <w:footnote w:id="4">
    <w:p w14:paraId="6DE22B74" w14:textId="0348E143" w:rsidR="00DD0327" w:rsidRPr="00DD0327" w:rsidRDefault="00DD0327">
      <w:pPr>
        <w:pStyle w:val="FootnoteText"/>
        <w:rPr>
          <w:lang w:val="en-US"/>
        </w:rPr>
      </w:pPr>
      <w:r>
        <w:rPr>
          <w:rStyle w:val="FootnoteReference"/>
        </w:rPr>
        <w:footnoteRef/>
      </w:r>
      <w:r>
        <w:t xml:space="preserve"> </w:t>
      </w:r>
      <w:r w:rsidR="00DD4788" w:rsidRPr="007A232E">
        <w:t xml:space="preserve">For full link to Previous Grant Recipients: </w:t>
      </w:r>
      <w:hyperlink r:id="rId3" w:history="1">
        <w:r w:rsidR="006A675A">
          <w:rPr>
            <w:rStyle w:val="Hyperlink"/>
          </w:rPr>
          <w:t>Cultural Development Fund - Festivals and Events - City of Port Phillip</w:t>
        </w:r>
      </w:hyperlink>
    </w:p>
  </w:footnote>
  <w:footnote w:id="5">
    <w:p w14:paraId="76763CAB" w14:textId="2012C456" w:rsidR="00BC1926" w:rsidRPr="00BC1926" w:rsidRDefault="00BC1926">
      <w:pPr>
        <w:pStyle w:val="FootnoteText"/>
        <w:rPr>
          <w:lang w:val="en-US"/>
        </w:rPr>
      </w:pPr>
      <w:r>
        <w:rPr>
          <w:rStyle w:val="FootnoteReference"/>
        </w:rPr>
        <w:footnoteRef/>
      </w:r>
      <w:r>
        <w:t xml:space="preserve"> </w:t>
      </w:r>
      <w:r>
        <w:rPr>
          <w:lang w:val="en-US"/>
        </w:rPr>
        <w:t>Fo</w:t>
      </w:r>
      <w:r w:rsidR="00460FA6">
        <w:rPr>
          <w:lang w:val="en-US"/>
        </w:rPr>
        <w:t>r</w:t>
      </w:r>
      <w:r>
        <w:rPr>
          <w:lang w:val="en-US"/>
        </w:rPr>
        <w:t xml:space="preserve"> full web link to the Council Plan 2021-32: </w:t>
      </w:r>
      <w:hyperlink r:id="rId4" w:history="1">
        <w:r w:rsidRPr="00BC1926">
          <w:rPr>
            <w:rStyle w:val="Hyperlink"/>
            <w:lang w:val="en-US"/>
          </w:rPr>
          <w:t>https://www.portphillip.vic.gov.au/about-the-council/council-plan-and-budget</w:t>
        </w:r>
      </w:hyperlink>
    </w:p>
  </w:footnote>
  <w:footnote w:id="6">
    <w:p w14:paraId="4BA2AC2E" w14:textId="149471AA" w:rsidR="00460FA6" w:rsidRPr="00460FA6" w:rsidRDefault="00460FA6">
      <w:pPr>
        <w:pStyle w:val="FootnoteText"/>
        <w:rPr>
          <w:lang w:val="en-US"/>
        </w:rPr>
      </w:pPr>
      <w:r>
        <w:rPr>
          <w:rStyle w:val="FootnoteReference"/>
        </w:rPr>
        <w:footnoteRef/>
      </w:r>
      <w:r>
        <w:t xml:space="preserve"> </w:t>
      </w:r>
      <w:r>
        <w:rPr>
          <w:lang w:val="en-US"/>
        </w:rPr>
        <w:t xml:space="preserve">For full web link to </w:t>
      </w:r>
      <w:r w:rsidR="00C96552">
        <w:rPr>
          <w:lang w:val="en-US"/>
        </w:rPr>
        <w:t>Cultural Development Fund Grant</w:t>
      </w:r>
      <w:r>
        <w:rPr>
          <w:lang w:val="en-US"/>
        </w:rPr>
        <w:t xml:space="preserve">s Information Session: </w:t>
      </w:r>
      <w:hyperlink r:id="rId5" w:history="1">
        <w:r w:rsidR="00ED1181" w:rsidRPr="005113F4">
          <w:rPr>
            <w:rStyle w:val="Hyperlink"/>
            <w:lang w:val="en-US"/>
          </w:rPr>
          <w:t>https://www.portphillip.vic.gov.au/people-and-community/funds-grants-and-subsidies/community-grants-program</w:t>
        </w:r>
      </w:hyperlink>
      <w:r w:rsidR="00ED1181">
        <w:rPr>
          <w:lang w:val="en-US"/>
        </w:rPr>
        <w:t xml:space="preserve"> </w:t>
      </w:r>
    </w:p>
  </w:footnote>
  <w:footnote w:id="7">
    <w:p w14:paraId="1B00E567" w14:textId="542DFAEA" w:rsidR="00867A90" w:rsidRPr="00867A90" w:rsidRDefault="00867A90">
      <w:pPr>
        <w:pStyle w:val="FootnoteText"/>
        <w:rPr>
          <w:lang w:val="en-US"/>
        </w:rPr>
      </w:pPr>
      <w:r>
        <w:rPr>
          <w:rStyle w:val="FootnoteReference"/>
        </w:rPr>
        <w:footnoteRef/>
      </w:r>
      <w:r>
        <w:t xml:space="preserve"> </w:t>
      </w:r>
      <w:r>
        <w:rPr>
          <w:lang w:val="en-US"/>
        </w:rPr>
        <w:t xml:space="preserve">For full web link </w:t>
      </w:r>
      <w:r w:rsidR="009336A4">
        <w:rPr>
          <w:lang w:val="en-US"/>
        </w:rPr>
        <w:t>to the City of Port Phillip’s SmartyGrants</w:t>
      </w:r>
      <w:r w:rsidR="00020303">
        <w:rPr>
          <w:lang w:val="en-US"/>
        </w:rPr>
        <w:t xml:space="preserve"> website: </w:t>
      </w:r>
      <w:hyperlink r:id="rId6" w:history="1">
        <w:r w:rsidR="00FB653F" w:rsidRPr="00FB653F">
          <w:rPr>
            <w:rStyle w:val="Hyperlink"/>
            <w:lang w:val="en-US"/>
          </w:rPr>
          <w:t>https://portphillip.smartygrants.com.au</w:t>
        </w:r>
      </w:hyperlink>
    </w:p>
  </w:footnote>
  <w:footnote w:id="8">
    <w:p w14:paraId="56E34DFE" w14:textId="415E2F9F" w:rsidR="004E0AB6" w:rsidRPr="004E0AB6" w:rsidRDefault="004E0AB6">
      <w:pPr>
        <w:pStyle w:val="FootnoteText"/>
        <w:rPr>
          <w:lang w:val="en-US"/>
        </w:rPr>
      </w:pPr>
      <w:r>
        <w:rPr>
          <w:rStyle w:val="FootnoteReference"/>
        </w:rPr>
        <w:footnoteRef/>
      </w:r>
      <w:r>
        <w:t xml:space="preserve"> </w:t>
      </w:r>
      <w:r w:rsidR="00D076AB">
        <w:t>For full web link to the City of Port Phillip’s SmartyGrants</w:t>
      </w:r>
      <w:r w:rsidR="008A43AD">
        <w:t xml:space="preserve"> Login and Registration: </w:t>
      </w:r>
      <w:hyperlink r:id="rId7" w:history="1">
        <w:r w:rsidR="0018076A" w:rsidRPr="0018076A">
          <w:rPr>
            <w:rStyle w:val="Hyperlink"/>
          </w:rPr>
          <w:t>https://portphillip.smartygrants.com.au/applicant/login</w:t>
        </w:r>
      </w:hyperlink>
    </w:p>
  </w:footnote>
  <w:footnote w:id="9">
    <w:p w14:paraId="0DCC88D9" w14:textId="055348C4" w:rsidR="00656A1F" w:rsidRPr="00656A1F" w:rsidRDefault="00656A1F">
      <w:pPr>
        <w:pStyle w:val="FootnoteText"/>
        <w:rPr>
          <w:lang w:val="en-US"/>
        </w:rPr>
      </w:pPr>
      <w:r>
        <w:rPr>
          <w:rStyle w:val="FootnoteReference"/>
        </w:rPr>
        <w:footnoteRef/>
      </w:r>
      <w:r>
        <w:t xml:space="preserve"> </w:t>
      </w:r>
      <w:r w:rsidR="00831EBA">
        <w:t xml:space="preserve">Full web link for Using Port Phillip maps: </w:t>
      </w:r>
      <w:hyperlink r:id="rId8" w:history="1">
        <w:r w:rsidR="00831EBA" w:rsidRPr="00831EBA">
          <w:rPr>
            <w:rStyle w:val="Hyperlink"/>
          </w:rPr>
          <w:t>https://www.portphillip.vic.gov.au/explore-the-city/travelling-around/using-port-phillip-maps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724F9A" w:rsidRDefault="00724F9A" w:rsidP="002135B1">
    <w:pPr>
      <w:ind w:left="-1134"/>
    </w:pPr>
    <w:r>
      <w:rPr>
        <w:noProof/>
        <w:lang w:eastAsia="en-AU"/>
      </w:rPr>
      <w:drawing>
        <wp:inline distT="0" distB="0" distL="0" distR="0" wp14:anchorId="335E3BEF" wp14:editId="412E19F7">
          <wp:extent cx="7560000" cy="720000"/>
          <wp:effectExtent l="0" t="0" r="3175" b="4445"/>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724F9A" w:rsidRDefault="00724F9A" w:rsidP="000E359E">
    <w:pPr>
      <w:pStyle w:val="Header"/>
      <w:ind w:left="-1134" w:right="-1134"/>
    </w:pPr>
    <w:r>
      <w:rPr>
        <w:noProof/>
        <w:lang w:eastAsia="en-AU"/>
      </w:rPr>
      <w:drawing>
        <wp:inline distT="0" distB="0" distL="0" distR="0" wp14:anchorId="0DE85202" wp14:editId="249EC0C3">
          <wp:extent cx="7547774" cy="2047875"/>
          <wp:effectExtent l="0" t="0" r="0" b="0"/>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CB66A0"/>
    <w:multiLevelType w:val="hybridMultilevel"/>
    <w:tmpl w:val="09FA307A"/>
    <w:lvl w:ilvl="0" w:tplc="0B66CE0C">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2A06C5"/>
    <w:multiLevelType w:val="hybridMultilevel"/>
    <w:tmpl w:val="18E09044"/>
    <w:lvl w:ilvl="0" w:tplc="F9FA7374">
      <w:start w:val="1"/>
      <w:numFmt w:val="bullet"/>
      <w:lvlText w:val=""/>
      <w:lvlJc w:val="left"/>
      <w:pPr>
        <w:ind w:left="720" w:hanging="360"/>
      </w:pPr>
      <w:rPr>
        <w:rFonts w:ascii="Symbol" w:hAnsi="Symbol" w:hint="default"/>
      </w:rPr>
    </w:lvl>
    <w:lvl w:ilvl="1" w:tplc="60B6B436">
      <w:start w:val="1"/>
      <w:numFmt w:val="bullet"/>
      <w:lvlText w:val="o"/>
      <w:lvlJc w:val="left"/>
      <w:pPr>
        <w:ind w:left="1440" w:hanging="360"/>
      </w:pPr>
      <w:rPr>
        <w:rFonts w:ascii="Courier New" w:hAnsi="Courier New" w:hint="default"/>
      </w:rPr>
    </w:lvl>
    <w:lvl w:ilvl="2" w:tplc="0E80A48A">
      <w:start w:val="1"/>
      <w:numFmt w:val="bullet"/>
      <w:lvlText w:val=""/>
      <w:lvlJc w:val="left"/>
      <w:pPr>
        <w:ind w:left="2160" w:hanging="360"/>
      </w:pPr>
      <w:rPr>
        <w:rFonts w:ascii="Wingdings" w:hAnsi="Wingdings" w:hint="default"/>
      </w:rPr>
    </w:lvl>
    <w:lvl w:ilvl="3" w:tplc="E1A2C7CA">
      <w:start w:val="1"/>
      <w:numFmt w:val="bullet"/>
      <w:lvlText w:val=""/>
      <w:lvlJc w:val="left"/>
      <w:pPr>
        <w:ind w:left="2880" w:hanging="360"/>
      </w:pPr>
      <w:rPr>
        <w:rFonts w:ascii="Symbol" w:hAnsi="Symbol" w:hint="default"/>
      </w:rPr>
    </w:lvl>
    <w:lvl w:ilvl="4" w:tplc="31747954">
      <w:start w:val="1"/>
      <w:numFmt w:val="bullet"/>
      <w:lvlText w:val="o"/>
      <w:lvlJc w:val="left"/>
      <w:pPr>
        <w:ind w:left="3600" w:hanging="360"/>
      </w:pPr>
      <w:rPr>
        <w:rFonts w:ascii="Courier New" w:hAnsi="Courier New" w:hint="default"/>
      </w:rPr>
    </w:lvl>
    <w:lvl w:ilvl="5" w:tplc="018808EC">
      <w:start w:val="1"/>
      <w:numFmt w:val="bullet"/>
      <w:lvlText w:val=""/>
      <w:lvlJc w:val="left"/>
      <w:pPr>
        <w:ind w:left="4320" w:hanging="360"/>
      </w:pPr>
      <w:rPr>
        <w:rFonts w:ascii="Wingdings" w:hAnsi="Wingdings" w:hint="default"/>
      </w:rPr>
    </w:lvl>
    <w:lvl w:ilvl="6" w:tplc="A4F25D96">
      <w:start w:val="1"/>
      <w:numFmt w:val="bullet"/>
      <w:lvlText w:val=""/>
      <w:lvlJc w:val="left"/>
      <w:pPr>
        <w:ind w:left="5040" w:hanging="360"/>
      </w:pPr>
      <w:rPr>
        <w:rFonts w:ascii="Symbol" w:hAnsi="Symbol" w:hint="default"/>
      </w:rPr>
    </w:lvl>
    <w:lvl w:ilvl="7" w:tplc="D42417BE">
      <w:start w:val="1"/>
      <w:numFmt w:val="bullet"/>
      <w:lvlText w:val="o"/>
      <w:lvlJc w:val="left"/>
      <w:pPr>
        <w:ind w:left="5760" w:hanging="360"/>
      </w:pPr>
      <w:rPr>
        <w:rFonts w:ascii="Courier New" w:hAnsi="Courier New" w:hint="default"/>
      </w:rPr>
    </w:lvl>
    <w:lvl w:ilvl="8" w:tplc="12F24F2C">
      <w:start w:val="1"/>
      <w:numFmt w:val="bullet"/>
      <w:lvlText w:val=""/>
      <w:lvlJc w:val="left"/>
      <w:pPr>
        <w:ind w:left="6480" w:hanging="360"/>
      </w:pPr>
      <w:rPr>
        <w:rFonts w:ascii="Wingdings" w:hAnsi="Wingdings" w:hint="default"/>
      </w:rPr>
    </w:lvl>
  </w:abstractNum>
  <w:abstractNum w:abstractNumId="4"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1C33EC"/>
    <w:multiLevelType w:val="multilevel"/>
    <w:tmpl w:val="5F0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7E4345"/>
    <w:multiLevelType w:val="multilevel"/>
    <w:tmpl w:val="FC085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1687356"/>
    <w:multiLevelType w:val="hybridMultilevel"/>
    <w:tmpl w:val="63C4B4D0"/>
    <w:lvl w:ilvl="0" w:tplc="0C090001">
      <w:start w:val="1"/>
      <w:numFmt w:val="bullet"/>
      <w:lvlText w:val=""/>
      <w:lvlJc w:val="left"/>
      <w:pPr>
        <w:ind w:left="720" w:hanging="360"/>
      </w:pPr>
      <w:rPr>
        <w:rFonts w:ascii="Symbol" w:hAnsi="Symbol" w:hint="default"/>
      </w:rPr>
    </w:lvl>
    <w:lvl w:ilvl="1" w:tplc="3A90384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67EC7"/>
    <w:multiLevelType w:val="hybridMultilevel"/>
    <w:tmpl w:val="4A0E54B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AA1F26"/>
    <w:multiLevelType w:val="hybridMultilevel"/>
    <w:tmpl w:val="3AB21026"/>
    <w:lvl w:ilvl="0" w:tplc="CC964BD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AD2CD9"/>
    <w:multiLevelType w:val="multilevel"/>
    <w:tmpl w:val="85988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EA0CDD"/>
    <w:multiLevelType w:val="multilevel"/>
    <w:tmpl w:val="6254B9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49B1884"/>
    <w:multiLevelType w:val="multilevel"/>
    <w:tmpl w:val="8EF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107457"/>
    <w:multiLevelType w:val="hybridMultilevel"/>
    <w:tmpl w:val="1206E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D3147"/>
    <w:multiLevelType w:val="hybridMultilevel"/>
    <w:tmpl w:val="C2327114"/>
    <w:lvl w:ilvl="0" w:tplc="8FF065C8">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16"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734AF5"/>
    <w:multiLevelType w:val="hybridMultilevel"/>
    <w:tmpl w:val="BF2A2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66784BB4"/>
    <w:multiLevelType w:val="hybridMultilevel"/>
    <w:tmpl w:val="A32A0754"/>
    <w:lvl w:ilvl="0" w:tplc="A86814D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1219133">
    <w:abstractNumId w:val="4"/>
  </w:num>
  <w:num w:numId="2" w16cid:durableId="1388525891">
    <w:abstractNumId w:val="1"/>
  </w:num>
  <w:num w:numId="3" w16cid:durableId="334765959">
    <w:abstractNumId w:val="15"/>
  </w:num>
  <w:num w:numId="4" w16cid:durableId="412360628">
    <w:abstractNumId w:val="16"/>
  </w:num>
  <w:num w:numId="5" w16cid:durableId="1159886627">
    <w:abstractNumId w:val="0"/>
  </w:num>
  <w:num w:numId="6" w16cid:durableId="109012284">
    <w:abstractNumId w:val="5"/>
  </w:num>
  <w:num w:numId="7" w16cid:durableId="998273150">
    <w:abstractNumId w:val="2"/>
  </w:num>
  <w:num w:numId="8" w16cid:durableId="2043168065">
    <w:abstractNumId w:val="18"/>
  </w:num>
  <w:num w:numId="9" w16cid:durableId="397022584">
    <w:abstractNumId w:val="8"/>
  </w:num>
  <w:num w:numId="10" w16cid:durableId="1045371798">
    <w:abstractNumId w:val="17"/>
  </w:num>
  <w:num w:numId="11" w16cid:durableId="1003554597">
    <w:abstractNumId w:val="3"/>
  </w:num>
  <w:num w:numId="12" w16cid:durableId="643048546">
    <w:abstractNumId w:val="2"/>
  </w:num>
  <w:num w:numId="13" w16cid:durableId="1766152889">
    <w:abstractNumId w:val="9"/>
  </w:num>
  <w:num w:numId="14" w16cid:durableId="1869874762">
    <w:abstractNumId w:val="9"/>
  </w:num>
  <w:num w:numId="15" w16cid:durableId="56361303">
    <w:abstractNumId w:val="9"/>
  </w:num>
  <w:num w:numId="16" w16cid:durableId="482279855">
    <w:abstractNumId w:val="9"/>
  </w:num>
  <w:num w:numId="17" w16cid:durableId="1460759875">
    <w:abstractNumId w:val="11"/>
  </w:num>
  <w:num w:numId="18" w16cid:durableId="1177578239">
    <w:abstractNumId w:val="6"/>
  </w:num>
  <w:num w:numId="19" w16cid:durableId="808984798">
    <w:abstractNumId w:val="13"/>
  </w:num>
  <w:num w:numId="20" w16cid:durableId="831724027">
    <w:abstractNumId w:val="14"/>
  </w:num>
  <w:num w:numId="21" w16cid:durableId="1737123157">
    <w:abstractNumId w:val="12"/>
  </w:num>
  <w:num w:numId="22" w16cid:durableId="798375700">
    <w:abstractNumId w:val="7"/>
  </w:num>
  <w:num w:numId="23" w16cid:durableId="1046030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0210"/>
    <w:rsid w:val="0000062B"/>
    <w:rsid w:val="00006062"/>
    <w:rsid w:val="00010B48"/>
    <w:rsid w:val="00011F6D"/>
    <w:rsid w:val="00013A9C"/>
    <w:rsid w:val="00020303"/>
    <w:rsid w:val="000205C2"/>
    <w:rsid w:val="00020A50"/>
    <w:rsid w:val="00021B55"/>
    <w:rsid w:val="00021D88"/>
    <w:rsid w:val="00022BCB"/>
    <w:rsid w:val="00023461"/>
    <w:rsid w:val="00024598"/>
    <w:rsid w:val="000304D5"/>
    <w:rsid w:val="000305EB"/>
    <w:rsid w:val="00032E27"/>
    <w:rsid w:val="000331DE"/>
    <w:rsid w:val="00033ECF"/>
    <w:rsid w:val="00040812"/>
    <w:rsid w:val="00041E16"/>
    <w:rsid w:val="000427B7"/>
    <w:rsid w:val="00042EF6"/>
    <w:rsid w:val="00043268"/>
    <w:rsid w:val="0004444A"/>
    <w:rsid w:val="000643F8"/>
    <w:rsid w:val="00064F84"/>
    <w:rsid w:val="00065712"/>
    <w:rsid w:val="000705C3"/>
    <w:rsid w:val="000707DB"/>
    <w:rsid w:val="00070BD9"/>
    <w:rsid w:val="00071A56"/>
    <w:rsid w:val="00072646"/>
    <w:rsid w:val="000753F7"/>
    <w:rsid w:val="0008362B"/>
    <w:rsid w:val="00083FE4"/>
    <w:rsid w:val="0008654F"/>
    <w:rsid w:val="00086651"/>
    <w:rsid w:val="00090093"/>
    <w:rsid w:val="00090AF6"/>
    <w:rsid w:val="00090E40"/>
    <w:rsid w:val="00090F4E"/>
    <w:rsid w:val="000935FE"/>
    <w:rsid w:val="00093FD7"/>
    <w:rsid w:val="00094569"/>
    <w:rsid w:val="00097104"/>
    <w:rsid w:val="000A07DE"/>
    <w:rsid w:val="000A1B8B"/>
    <w:rsid w:val="000A3B55"/>
    <w:rsid w:val="000A40BA"/>
    <w:rsid w:val="000A42AE"/>
    <w:rsid w:val="000A5A67"/>
    <w:rsid w:val="000A7F99"/>
    <w:rsid w:val="000B0379"/>
    <w:rsid w:val="000B0CFD"/>
    <w:rsid w:val="000B1743"/>
    <w:rsid w:val="000B23E2"/>
    <w:rsid w:val="000C0F48"/>
    <w:rsid w:val="000C120A"/>
    <w:rsid w:val="000C2D7B"/>
    <w:rsid w:val="000C5C3C"/>
    <w:rsid w:val="000C6DDC"/>
    <w:rsid w:val="000D11AE"/>
    <w:rsid w:val="000D173E"/>
    <w:rsid w:val="000D2A69"/>
    <w:rsid w:val="000D3480"/>
    <w:rsid w:val="000D4DE3"/>
    <w:rsid w:val="000D584C"/>
    <w:rsid w:val="000D64C0"/>
    <w:rsid w:val="000D7324"/>
    <w:rsid w:val="000D744C"/>
    <w:rsid w:val="000E09D8"/>
    <w:rsid w:val="000E359E"/>
    <w:rsid w:val="000E44D1"/>
    <w:rsid w:val="000E6B6C"/>
    <w:rsid w:val="000F1002"/>
    <w:rsid w:val="000F14C5"/>
    <w:rsid w:val="000F1AAE"/>
    <w:rsid w:val="000F637B"/>
    <w:rsid w:val="000F711E"/>
    <w:rsid w:val="0010250E"/>
    <w:rsid w:val="00102E8F"/>
    <w:rsid w:val="00106B5A"/>
    <w:rsid w:val="00107E9E"/>
    <w:rsid w:val="0011138D"/>
    <w:rsid w:val="0011519C"/>
    <w:rsid w:val="00117EE4"/>
    <w:rsid w:val="001209E5"/>
    <w:rsid w:val="00121AAC"/>
    <w:rsid w:val="00122452"/>
    <w:rsid w:val="00125CF2"/>
    <w:rsid w:val="0013088E"/>
    <w:rsid w:val="00134CA8"/>
    <w:rsid w:val="00140E34"/>
    <w:rsid w:val="00142415"/>
    <w:rsid w:val="0014598C"/>
    <w:rsid w:val="00147D96"/>
    <w:rsid w:val="00151DB5"/>
    <w:rsid w:val="00155256"/>
    <w:rsid w:val="00155BF3"/>
    <w:rsid w:val="00156CF4"/>
    <w:rsid w:val="00160500"/>
    <w:rsid w:val="00160A64"/>
    <w:rsid w:val="00163AA6"/>
    <w:rsid w:val="0016412C"/>
    <w:rsid w:val="001645C4"/>
    <w:rsid w:val="00164B3D"/>
    <w:rsid w:val="00165208"/>
    <w:rsid w:val="00165B23"/>
    <w:rsid w:val="0017147B"/>
    <w:rsid w:val="0018076A"/>
    <w:rsid w:val="001820F6"/>
    <w:rsid w:val="00182CCC"/>
    <w:rsid w:val="00183EC8"/>
    <w:rsid w:val="001861D7"/>
    <w:rsid w:val="00186762"/>
    <w:rsid w:val="0019080D"/>
    <w:rsid w:val="001963BE"/>
    <w:rsid w:val="001A5744"/>
    <w:rsid w:val="001A6926"/>
    <w:rsid w:val="001B045A"/>
    <w:rsid w:val="001B105C"/>
    <w:rsid w:val="001B3189"/>
    <w:rsid w:val="001B4623"/>
    <w:rsid w:val="001B5344"/>
    <w:rsid w:val="001B5363"/>
    <w:rsid w:val="001B6F42"/>
    <w:rsid w:val="001B7941"/>
    <w:rsid w:val="001C1BC9"/>
    <w:rsid w:val="001C323E"/>
    <w:rsid w:val="001D08C8"/>
    <w:rsid w:val="001D1DAB"/>
    <w:rsid w:val="001D2B0A"/>
    <w:rsid w:val="001D3172"/>
    <w:rsid w:val="001D384B"/>
    <w:rsid w:val="001E1BC6"/>
    <w:rsid w:val="001E3FE8"/>
    <w:rsid w:val="001E4AC7"/>
    <w:rsid w:val="001E4D3D"/>
    <w:rsid w:val="001E6B65"/>
    <w:rsid w:val="001E7200"/>
    <w:rsid w:val="001F067F"/>
    <w:rsid w:val="001F06A1"/>
    <w:rsid w:val="001F0CAB"/>
    <w:rsid w:val="001F0EC7"/>
    <w:rsid w:val="001F1FB4"/>
    <w:rsid w:val="001F2383"/>
    <w:rsid w:val="001F2780"/>
    <w:rsid w:val="001F3160"/>
    <w:rsid w:val="001F4A18"/>
    <w:rsid w:val="001F6F66"/>
    <w:rsid w:val="001F7423"/>
    <w:rsid w:val="002003D0"/>
    <w:rsid w:val="00200806"/>
    <w:rsid w:val="0020125F"/>
    <w:rsid w:val="002013EF"/>
    <w:rsid w:val="002029A0"/>
    <w:rsid w:val="00203597"/>
    <w:rsid w:val="00206914"/>
    <w:rsid w:val="00206C52"/>
    <w:rsid w:val="00206DC0"/>
    <w:rsid w:val="00207BD3"/>
    <w:rsid w:val="00207BD9"/>
    <w:rsid w:val="00211A95"/>
    <w:rsid w:val="0021258B"/>
    <w:rsid w:val="002135B1"/>
    <w:rsid w:val="00213B08"/>
    <w:rsid w:val="00214F68"/>
    <w:rsid w:val="00217176"/>
    <w:rsid w:val="002171F3"/>
    <w:rsid w:val="00220FD3"/>
    <w:rsid w:val="002238CD"/>
    <w:rsid w:val="00224507"/>
    <w:rsid w:val="002268AE"/>
    <w:rsid w:val="00230014"/>
    <w:rsid w:val="002311FD"/>
    <w:rsid w:val="00231CCC"/>
    <w:rsid w:val="002331DE"/>
    <w:rsid w:val="00234599"/>
    <w:rsid w:val="0023573E"/>
    <w:rsid w:val="00236366"/>
    <w:rsid w:val="002364B7"/>
    <w:rsid w:val="00237136"/>
    <w:rsid w:val="00237A22"/>
    <w:rsid w:val="002403E1"/>
    <w:rsid w:val="00240CB5"/>
    <w:rsid w:val="0024202B"/>
    <w:rsid w:val="00242C88"/>
    <w:rsid w:val="00242FED"/>
    <w:rsid w:val="0024570E"/>
    <w:rsid w:val="00245AD9"/>
    <w:rsid w:val="002574E3"/>
    <w:rsid w:val="0025776F"/>
    <w:rsid w:val="00257AFA"/>
    <w:rsid w:val="0026135C"/>
    <w:rsid w:val="00262255"/>
    <w:rsid w:val="00262DA9"/>
    <w:rsid w:val="00263299"/>
    <w:rsid w:val="0026397D"/>
    <w:rsid w:val="002650AE"/>
    <w:rsid w:val="00265255"/>
    <w:rsid w:val="0026656B"/>
    <w:rsid w:val="00266CD4"/>
    <w:rsid w:val="00266E9D"/>
    <w:rsid w:val="002672F0"/>
    <w:rsid w:val="00272A25"/>
    <w:rsid w:val="002741FE"/>
    <w:rsid w:val="00274A5D"/>
    <w:rsid w:val="00274D83"/>
    <w:rsid w:val="00275692"/>
    <w:rsid w:val="00277C5C"/>
    <w:rsid w:val="00280C72"/>
    <w:rsid w:val="00282FDF"/>
    <w:rsid w:val="00283381"/>
    <w:rsid w:val="002834D7"/>
    <w:rsid w:val="002835CE"/>
    <w:rsid w:val="00283786"/>
    <w:rsid w:val="00283B48"/>
    <w:rsid w:val="00284AC6"/>
    <w:rsid w:val="00290494"/>
    <w:rsid w:val="00290966"/>
    <w:rsid w:val="00291302"/>
    <w:rsid w:val="00293A6A"/>
    <w:rsid w:val="002942F3"/>
    <w:rsid w:val="00296478"/>
    <w:rsid w:val="002A38C8"/>
    <w:rsid w:val="002A541B"/>
    <w:rsid w:val="002A5965"/>
    <w:rsid w:val="002B04C0"/>
    <w:rsid w:val="002B40D7"/>
    <w:rsid w:val="002B551C"/>
    <w:rsid w:val="002B5B71"/>
    <w:rsid w:val="002C15A2"/>
    <w:rsid w:val="002C1BA4"/>
    <w:rsid w:val="002C2A63"/>
    <w:rsid w:val="002C3D7F"/>
    <w:rsid w:val="002C4219"/>
    <w:rsid w:val="002C4E84"/>
    <w:rsid w:val="002C5441"/>
    <w:rsid w:val="002C7177"/>
    <w:rsid w:val="002C7E1E"/>
    <w:rsid w:val="002D11C5"/>
    <w:rsid w:val="002D35F3"/>
    <w:rsid w:val="002D3A1D"/>
    <w:rsid w:val="002E038C"/>
    <w:rsid w:val="002E1EF7"/>
    <w:rsid w:val="002E493A"/>
    <w:rsid w:val="002F0A8E"/>
    <w:rsid w:val="002F3FDD"/>
    <w:rsid w:val="002F4033"/>
    <w:rsid w:val="002F749B"/>
    <w:rsid w:val="00301FF5"/>
    <w:rsid w:val="0030366F"/>
    <w:rsid w:val="003065BF"/>
    <w:rsid w:val="00306DEB"/>
    <w:rsid w:val="003127E6"/>
    <w:rsid w:val="00312C00"/>
    <w:rsid w:val="00313DE7"/>
    <w:rsid w:val="0031534F"/>
    <w:rsid w:val="00317DD4"/>
    <w:rsid w:val="00321DDE"/>
    <w:rsid w:val="00322550"/>
    <w:rsid w:val="003241FE"/>
    <w:rsid w:val="00325654"/>
    <w:rsid w:val="003276FD"/>
    <w:rsid w:val="00330CCB"/>
    <w:rsid w:val="00332AE2"/>
    <w:rsid w:val="0033599E"/>
    <w:rsid w:val="00336016"/>
    <w:rsid w:val="00341ABE"/>
    <w:rsid w:val="00347CEF"/>
    <w:rsid w:val="00350230"/>
    <w:rsid w:val="00351C0A"/>
    <w:rsid w:val="0035238F"/>
    <w:rsid w:val="00352F2B"/>
    <w:rsid w:val="00357F98"/>
    <w:rsid w:val="0036147B"/>
    <w:rsid w:val="00361699"/>
    <w:rsid w:val="00361ACB"/>
    <w:rsid w:val="0036256B"/>
    <w:rsid w:val="00364540"/>
    <w:rsid w:val="003657EF"/>
    <w:rsid w:val="0036618D"/>
    <w:rsid w:val="00370B04"/>
    <w:rsid w:val="00371054"/>
    <w:rsid w:val="0037241D"/>
    <w:rsid w:val="00372762"/>
    <w:rsid w:val="00373158"/>
    <w:rsid w:val="003753DA"/>
    <w:rsid w:val="0037587C"/>
    <w:rsid w:val="0037749D"/>
    <w:rsid w:val="00377EFF"/>
    <w:rsid w:val="0038124E"/>
    <w:rsid w:val="00382778"/>
    <w:rsid w:val="003839D2"/>
    <w:rsid w:val="00384E1D"/>
    <w:rsid w:val="00385005"/>
    <w:rsid w:val="00386496"/>
    <w:rsid w:val="00386731"/>
    <w:rsid w:val="00386DD6"/>
    <w:rsid w:val="00387465"/>
    <w:rsid w:val="00387C9F"/>
    <w:rsid w:val="00393475"/>
    <w:rsid w:val="00396BBD"/>
    <w:rsid w:val="00396D62"/>
    <w:rsid w:val="00397AD4"/>
    <w:rsid w:val="003A1053"/>
    <w:rsid w:val="003A187E"/>
    <w:rsid w:val="003A357A"/>
    <w:rsid w:val="003A3895"/>
    <w:rsid w:val="003A4220"/>
    <w:rsid w:val="003A69EB"/>
    <w:rsid w:val="003A6CEB"/>
    <w:rsid w:val="003B4A20"/>
    <w:rsid w:val="003B61C6"/>
    <w:rsid w:val="003B7941"/>
    <w:rsid w:val="003C0351"/>
    <w:rsid w:val="003C0650"/>
    <w:rsid w:val="003C25EC"/>
    <w:rsid w:val="003C4043"/>
    <w:rsid w:val="003C4C2D"/>
    <w:rsid w:val="003C508A"/>
    <w:rsid w:val="003C66F0"/>
    <w:rsid w:val="003C7842"/>
    <w:rsid w:val="003D0492"/>
    <w:rsid w:val="003D12F9"/>
    <w:rsid w:val="003D308D"/>
    <w:rsid w:val="003D3366"/>
    <w:rsid w:val="003D42D6"/>
    <w:rsid w:val="003D51F3"/>
    <w:rsid w:val="003E051E"/>
    <w:rsid w:val="003E382A"/>
    <w:rsid w:val="003E3F71"/>
    <w:rsid w:val="003E4979"/>
    <w:rsid w:val="003E61D6"/>
    <w:rsid w:val="003E7747"/>
    <w:rsid w:val="003E7F28"/>
    <w:rsid w:val="003F042C"/>
    <w:rsid w:val="003F075C"/>
    <w:rsid w:val="003F32C3"/>
    <w:rsid w:val="003F5D33"/>
    <w:rsid w:val="003F7344"/>
    <w:rsid w:val="00401A53"/>
    <w:rsid w:val="0040562D"/>
    <w:rsid w:val="004072C2"/>
    <w:rsid w:val="00407F0A"/>
    <w:rsid w:val="00410CC3"/>
    <w:rsid w:val="00411939"/>
    <w:rsid w:val="004149E7"/>
    <w:rsid w:val="00414A05"/>
    <w:rsid w:val="00414DA5"/>
    <w:rsid w:val="00414DCD"/>
    <w:rsid w:val="0041560E"/>
    <w:rsid w:val="004159C8"/>
    <w:rsid w:val="0041660E"/>
    <w:rsid w:val="004201F9"/>
    <w:rsid w:val="004203AC"/>
    <w:rsid w:val="004212FC"/>
    <w:rsid w:val="00421952"/>
    <w:rsid w:val="0042272C"/>
    <w:rsid w:val="00423D0D"/>
    <w:rsid w:val="00424AD3"/>
    <w:rsid w:val="00427E07"/>
    <w:rsid w:val="00430817"/>
    <w:rsid w:val="00430E2F"/>
    <w:rsid w:val="004324AA"/>
    <w:rsid w:val="0043286A"/>
    <w:rsid w:val="00433B9B"/>
    <w:rsid w:val="00433BD1"/>
    <w:rsid w:val="0044016F"/>
    <w:rsid w:val="00441ABB"/>
    <w:rsid w:val="004426F6"/>
    <w:rsid w:val="00443203"/>
    <w:rsid w:val="00443675"/>
    <w:rsid w:val="004455D0"/>
    <w:rsid w:val="00447042"/>
    <w:rsid w:val="00450D21"/>
    <w:rsid w:val="0045257E"/>
    <w:rsid w:val="00453705"/>
    <w:rsid w:val="00453C26"/>
    <w:rsid w:val="004556E2"/>
    <w:rsid w:val="00460A90"/>
    <w:rsid w:val="00460FA6"/>
    <w:rsid w:val="00462B24"/>
    <w:rsid w:val="00463857"/>
    <w:rsid w:val="0046592C"/>
    <w:rsid w:val="00465F07"/>
    <w:rsid w:val="0046757C"/>
    <w:rsid w:val="004701F3"/>
    <w:rsid w:val="00474419"/>
    <w:rsid w:val="0047549F"/>
    <w:rsid w:val="00477C31"/>
    <w:rsid w:val="00477DA9"/>
    <w:rsid w:val="00477F1C"/>
    <w:rsid w:val="004804C3"/>
    <w:rsid w:val="00480C81"/>
    <w:rsid w:val="00481827"/>
    <w:rsid w:val="00481E84"/>
    <w:rsid w:val="00482433"/>
    <w:rsid w:val="0048306B"/>
    <w:rsid w:val="004831C7"/>
    <w:rsid w:val="00485429"/>
    <w:rsid w:val="00491C19"/>
    <w:rsid w:val="00492CED"/>
    <w:rsid w:val="00493307"/>
    <w:rsid w:val="0049413B"/>
    <w:rsid w:val="00495BC6"/>
    <w:rsid w:val="00497282"/>
    <w:rsid w:val="004A11B5"/>
    <w:rsid w:val="004A1506"/>
    <w:rsid w:val="004A7703"/>
    <w:rsid w:val="004B203B"/>
    <w:rsid w:val="004B2A95"/>
    <w:rsid w:val="004B48AA"/>
    <w:rsid w:val="004B4919"/>
    <w:rsid w:val="004C14E7"/>
    <w:rsid w:val="004C2C2E"/>
    <w:rsid w:val="004C3199"/>
    <w:rsid w:val="004C40A8"/>
    <w:rsid w:val="004C5F7B"/>
    <w:rsid w:val="004C61CB"/>
    <w:rsid w:val="004C72FC"/>
    <w:rsid w:val="004D04F4"/>
    <w:rsid w:val="004D1663"/>
    <w:rsid w:val="004D42BC"/>
    <w:rsid w:val="004D4481"/>
    <w:rsid w:val="004D5252"/>
    <w:rsid w:val="004D5C09"/>
    <w:rsid w:val="004D691E"/>
    <w:rsid w:val="004E04E0"/>
    <w:rsid w:val="004E0AB6"/>
    <w:rsid w:val="004E158F"/>
    <w:rsid w:val="004E306D"/>
    <w:rsid w:val="004E3BDF"/>
    <w:rsid w:val="004E4D80"/>
    <w:rsid w:val="004F0D1F"/>
    <w:rsid w:val="00505E46"/>
    <w:rsid w:val="005062DD"/>
    <w:rsid w:val="00511457"/>
    <w:rsid w:val="0051320B"/>
    <w:rsid w:val="005133CC"/>
    <w:rsid w:val="00513A68"/>
    <w:rsid w:val="005142ED"/>
    <w:rsid w:val="0051461C"/>
    <w:rsid w:val="00515366"/>
    <w:rsid w:val="00520E25"/>
    <w:rsid w:val="0052354C"/>
    <w:rsid w:val="0052497C"/>
    <w:rsid w:val="00524F07"/>
    <w:rsid w:val="0052543E"/>
    <w:rsid w:val="00526093"/>
    <w:rsid w:val="005309C6"/>
    <w:rsid w:val="00530DA9"/>
    <w:rsid w:val="0053160E"/>
    <w:rsid w:val="00536CF2"/>
    <w:rsid w:val="00540C7E"/>
    <w:rsid w:val="00541869"/>
    <w:rsid w:val="0054411A"/>
    <w:rsid w:val="0054748F"/>
    <w:rsid w:val="00550744"/>
    <w:rsid w:val="00553921"/>
    <w:rsid w:val="00555212"/>
    <w:rsid w:val="00556069"/>
    <w:rsid w:val="005561E3"/>
    <w:rsid w:val="005562D0"/>
    <w:rsid w:val="00560A72"/>
    <w:rsid w:val="00564FB2"/>
    <w:rsid w:val="00566123"/>
    <w:rsid w:val="005671CF"/>
    <w:rsid w:val="00567FA9"/>
    <w:rsid w:val="00570691"/>
    <w:rsid w:val="005737A4"/>
    <w:rsid w:val="00574A6A"/>
    <w:rsid w:val="00576B57"/>
    <w:rsid w:val="00577151"/>
    <w:rsid w:val="005775D7"/>
    <w:rsid w:val="00580245"/>
    <w:rsid w:val="00581B6A"/>
    <w:rsid w:val="005827AA"/>
    <w:rsid w:val="00583BDA"/>
    <w:rsid w:val="00584140"/>
    <w:rsid w:val="00584379"/>
    <w:rsid w:val="00585137"/>
    <w:rsid w:val="005852F4"/>
    <w:rsid w:val="00590006"/>
    <w:rsid w:val="00590F4E"/>
    <w:rsid w:val="00592A46"/>
    <w:rsid w:val="0059317C"/>
    <w:rsid w:val="005A311B"/>
    <w:rsid w:val="005A520D"/>
    <w:rsid w:val="005A65DF"/>
    <w:rsid w:val="005A71BB"/>
    <w:rsid w:val="005B10D6"/>
    <w:rsid w:val="005B1DDE"/>
    <w:rsid w:val="005B4465"/>
    <w:rsid w:val="005B542A"/>
    <w:rsid w:val="005B7851"/>
    <w:rsid w:val="005C24A0"/>
    <w:rsid w:val="005C3B91"/>
    <w:rsid w:val="005C3EFE"/>
    <w:rsid w:val="005C7428"/>
    <w:rsid w:val="005D12BD"/>
    <w:rsid w:val="005D5EF0"/>
    <w:rsid w:val="005D671E"/>
    <w:rsid w:val="005D6F62"/>
    <w:rsid w:val="005E26E5"/>
    <w:rsid w:val="005E392C"/>
    <w:rsid w:val="005F1C66"/>
    <w:rsid w:val="005F33C8"/>
    <w:rsid w:val="005F54A0"/>
    <w:rsid w:val="005F5F2F"/>
    <w:rsid w:val="005F6749"/>
    <w:rsid w:val="005F6B5A"/>
    <w:rsid w:val="005F7179"/>
    <w:rsid w:val="00600F9C"/>
    <w:rsid w:val="00601D22"/>
    <w:rsid w:val="0060316F"/>
    <w:rsid w:val="006036A7"/>
    <w:rsid w:val="00604511"/>
    <w:rsid w:val="0060487B"/>
    <w:rsid w:val="00606CA4"/>
    <w:rsid w:val="00607222"/>
    <w:rsid w:val="0061116B"/>
    <w:rsid w:val="00611361"/>
    <w:rsid w:val="006121DA"/>
    <w:rsid w:val="00615CA4"/>
    <w:rsid w:val="006208FB"/>
    <w:rsid w:val="0062389F"/>
    <w:rsid w:val="00624531"/>
    <w:rsid w:val="00625A21"/>
    <w:rsid w:val="006265E4"/>
    <w:rsid w:val="00632493"/>
    <w:rsid w:val="00633709"/>
    <w:rsid w:val="006344AD"/>
    <w:rsid w:val="00634F1C"/>
    <w:rsid w:val="00635215"/>
    <w:rsid w:val="00635796"/>
    <w:rsid w:val="006359CE"/>
    <w:rsid w:val="00636234"/>
    <w:rsid w:val="00637729"/>
    <w:rsid w:val="00640233"/>
    <w:rsid w:val="00640AD2"/>
    <w:rsid w:val="00646461"/>
    <w:rsid w:val="0065057F"/>
    <w:rsid w:val="0065152F"/>
    <w:rsid w:val="00653A84"/>
    <w:rsid w:val="00653AB6"/>
    <w:rsid w:val="00653F2C"/>
    <w:rsid w:val="00654F50"/>
    <w:rsid w:val="00655F9D"/>
    <w:rsid w:val="00656265"/>
    <w:rsid w:val="00656A1F"/>
    <w:rsid w:val="00656F41"/>
    <w:rsid w:val="00662064"/>
    <w:rsid w:val="006635E6"/>
    <w:rsid w:val="0066376A"/>
    <w:rsid w:val="00665D98"/>
    <w:rsid w:val="00666BF0"/>
    <w:rsid w:val="00666C24"/>
    <w:rsid w:val="00667BD1"/>
    <w:rsid w:val="006703D7"/>
    <w:rsid w:val="00670F04"/>
    <w:rsid w:val="00671480"/>
    <w:rsid w:val="00671503"/>
    <w:rsid w:val="00672869"/>
    <w:rsid w:val="006736CD"/>
    <w:rsid w:val="006758DB"/>
    <w:rsid w:val="00675D23"/>
    <w:rsid w:val="00676396"/>
    <w:rsid w:val="00677698"/>
    <w:rsid w:val="006800CA"/>
    <w:rsid w:val="006806CC"/>
    <w:rsid w:val="006872C8"/>
    <w:rsid w:val="0068783C"/>
    <w:rsid w:val="00690161"/>
    <w:rsid w:val="006909D2"/>
    <w:rsid w:val="006914A5"/>
    <w:rsid w:val="00691ED7"/>
    <w:rsid w:val="00692B43"/>
    <w:rsid w:val="006944CC"/>
    <w:rsid w:val="00694BA0"/>
    <w:rsid w:val="00696645"/>
    <w:rsid w:val="00696AFF"/>
    <w:rsid w:val="006A0813"/>
    <w:rsid w:val="006A2D6C"/>
    <w:rsid w:val="006A2F21"/>
    <w:rsid w:val="006A30B5"/>
    <w:rsid w:val="006A341C"/>
    <w:rsid w:val="006A4D98"/>
    <w:rsid w:val="006A675A"/>
    <w:rsid w:val="006B1588"/>
    <w:rsid w:val="006B56ED"/>
    <w:rsid w:val="006B575F"/>
    <w:rsid w:val="006B674A"/>
    <w:rsid w:val="006B6F32"/>
    <w:rsid w:val="006C1828"/>
    <w:rsid w:val="006C449A"/>
    <w:rsid w:val="006C56AE"/>
    <w:rsid w:val="006C6F0A"/>
    <w:rsid w:val="006C72CD"/>
    <w:rsid w:val="006C7A3A"/>
    <w:rsid w:val="006D0880"/>
    <w:rsid w:val="006D0FE2"/>
    <w:rsid w:val="006D1610"/>
    <w:rsid w:val="006D335C"/>
    <w:rsid w:val="006D4192"/>
    <w:rsid w:val="006D52E7"/>
    <w:rsid w:val="006D53AC"/>
    <w:rsid w:val="006D5BA7"/>
    <w:rsid w:val="006E01BF"/>
    <w:rsid w:val="006E147D"/>
    <w:rsid w:val="006E1661"/>
    <w:rsid w:val="006E1FA8"/>
    <w:rsid w:val="006E42EC"/>
    <w:rsid w:val="006E771F"/>
    <w:rsid w:val="006E7998"/>
    <w:rsid w:val="006F1E74"/>
    <w:rsid w:val="006F292E"/>
    <w:rsid w:val="006F3BAB"/>
    <w:rsid w:val="006F5776"/>
    <w:rsid w:val="006F66C6"/>
    <w:rsid w:val="006F78D0"/>
    <w:rsid w:val="00700293"/>
    <w:rsid w:val="00701B61"/>
    <w:rsid w:val="00702258"/>
    <w:rsid w:val="00705413"/>
    <w:rsid w:val="00705B29"/>
    <w:rsid w:val="00706079"/>
    <w:rsid w:val="00706364"/>
    <w:rsid w:val="007066D3"/>
    <w:rsid w:val="00712EC5"/>
    <w:rsid w:val="00713DE2"/>
    <w:rsid w:val="0071465F"/>
    <w:rsid w:val="00715264"/>
    <w:rsid w:val="007200E4"/>
    <w:rsid w:val="00720256"/>
    <w:rsid w:val="007224A9"/>
    <w:rsid w:val="00723959"/>
    <w:rsid w:val="00724B58"/>
    <w:rsid w:val="00724C09"/>
    <w:rsid w:val="00724F2A"/>
    <w:rsid w:val="00724F9A"/>
    <w:rsid w:val="00726E57"/>
    <w:rsid w:val="0072764F"/>
    <w:rsid w:val="007277C4"/>
    <w:rsid w:val="0073387F"/>
    <w:rsid w:val="007346CF"/>
    <w:rsid w:val="0073664E"/>
    <w:rsid w:val="00737EAA"/>
    <w:rsid w:val="0074122D"/>
    <w:rsid w:val="00742FEA"/>
    <w:rsid w:val="00743905"/>
    <w:rsid w:val="0074565A"/>
    <w:rsid w:val="0074773B"/>
    <w:rsid w:val="00753163"/>
    <w:rsid w:val="0075409B"/>
    <w:rsid w:val="00754624"/>
    <w:rsid w:val="0075573D"/>
    <w:rsid w:val="00755FD5"/>
    <w:rsid w:val="00757247"/>
    <w:rsid w:val="00757568"/>
    <w:rsid w:val="0076164E"/>
    <w:rsid w:val="0076261F"/>
    <w:rsid w:val="00762BFA"/>
    <w:rsid w:val="007636D5"/>
    <w:rsid w:val="0076457D"/>
    <w:rsid w:val="00764EB7"/>
    <w:rsid w:val="00765831"/>
    <w:rsid w:val="007666A5"/>
    <w:rsid w:val="00766AA1"/>
    <w:rsid w:val="00766C62"/>
    <w:rsid w:val="0076738B"/>
    <w:rsid w:val="00770B44"/>
    <w:rsid w:val="007715E7"/>
    <w:rsid w:val="00771A51"/>
    <w:rsid w:val="0077322E"/>
    <w:rsid w:val="007740DB"/>
    <w:rsid w:val="007751B6"/>
    <w:rsid w:val="00775421"/>
    <w:rsid w:val="007766E5"/>
    <w:rsid w:val="00777812"/>
    <w:rsid w:val="00780908"/>
    <w:rsid w:val="00785FE2"/>
    <w:rsid w:val="007902D4"/>
    <w:rsid w:val="00790E63"/>
    <w:rsid w:val="00791977"/>
    <w:rsid w:val="00794E69"/>
    <w:rsid w:val="00797F2C"/>
    <w:rsid w:val="007A019C"/>
    <w:rsid w:val="007A232E"/>
    <w:rsid w:val="007A2C85"/>
    <w:rsid w:val="007A2FE8"/>
    <w:rsid w:val="007A3871"/>
    <w:rsid w:val="007A3F4E"/>
    <w:rsid w:val="007A46D6"/>
    <w:rsid w:val="007A6DB9"/>
    <w:rsid w:val="007A7834"/>
    <w:rsid w:val="007A7FE1"/>
    <w:rsid w:val="007B4D9C"/>
    <w:rsid w:val="007C17ED"/>
    <w:rsid w:val="007C2AA2"/>
    <w:rsid w:val="007C5746"/>
    <w:rsid w:val="007C61F7"/>
    <w:rsid w:val="007D0065"/>
    <w:rsid w:val="007D2AAC"/>
    <w:rsid w:val="007D3134"/>
    <w:rsid w:val="007D6599"/>
    <w:rsid w:val="007E37A1"/>
    <w:rsid w:val="007E5C87"/>
    <w:rsid w:val="007E701E"/>
    <w:rsid w:val="007E780C"/>
    <w:rsid w:val="007E7E0D"/>
    <w:rsid w:val="007F0773"/>
    <w:rsid w:val="007F21AE"/>
    <w:rsid w:val="007F2693"/>
    <w:rsid w:val="007F4175"/>
    <w:rsid w:val="007F539A"/>
    <w:rsid w:val="007F5EF9"/>
    <w:rsid w:val="007F6187"/>
    <w:rsid w:val="007F68B0"/>
    <w:rsid w:val="007F7C49"/>
    <w:rsid w:val="00800773"/>
    <w:rsid w:val="0080110C"/>
    <w:rsid w:val="00801E7B"/>
    <w:rsid w:val="008033C6"/>
    <w:rsid w:val="00804F5F"/>
    <w:rsid w:val="008055A9"/>
    <w:rsid w:val="0080716E"/>
    <w:rsid w:val="00810F98"/>
    <w:rsid w:val="008175EF"/>
    <w:rsid w:val="00820B7E"/>
    <w:rsid w:val="00821D73"/>
    <w:rsid w:val="00822C0F"/>
    <w:rsid w:val="00825134"/>
    <w:rsid w:val="00826BBD"/>
    <w:rsid w:val="00827230"/>
    <w:rsid w:val="00831894"/>
    <w:rsid w:val="00831EBA"/>
    <w:rsid w:val="0083202E"/>
    <w:rsid w:val="00832A59"/>
    <w:rsid w:val="008336D3"/>
    <w:rsid w:val="008369A5"/>
    <w:rsid w:val="0084102A"/>
    <w:rsid w:val="00841967"/>
    <w:rsid w:val="008429D1"/>
    <w:rsid w:val="00843C7A"/>
    <w:rsid w:val="008465A9"/>
    <w:rsid w:val="0085080B"/>
    <w:rsid w:val="0085114C"/>
    <w:rsid w:val="00851198"/>
    <w:rsid w:val="0085131C"/>
    <w:rsid w:val="008519D1"/>
    <w:rsid w:val="00853C6B"/>
    <w:rsid w:val="008548BF"/>
    <w:rsid w:val="008556AD"/>
    <w:rsid w:val="00857A99"/>
    <w:rsid w:val="00860B5B"/>
    <w:rsid w:val="0086189C"/>
    <w:rsid w:val="008618D1"/>
    <w:rsid w:val="00861AA5"/>
    <w:rsid w:val="00862942"/>
    <w:rsid w:val="00863098"/>
    <w:rsid w:val="008633D0"/>
    <w:rsid w:val="00863A2B"/>
    <w:rsid w:val="008666B5"/>
    <w:rsid w:val="00866BB3"/>
    <w:rsid w:val="00866D41"/>
    <w:rsid w:val="00867A90"/>
    <w:rsid w:val="00867E88"/>
    <w:rsid w:val="00872DA4"/>
    <w:rsid w:val="00872E94"/>
    <w:rsid w:val="00875558"/>
    <w:rsid w:val="0087642C"/>
    <w:rsid w:val="00876819"/>
    <w:rsid w:val="00877BDD"/>
    <w:rsid w:val="00880FDF"/>
    <w:rsid w:val="00882738"/>
    <w:rsid w:val="00882BAC"/>
    <w:rsid w:val="00882F4E"/>
    <w:rsid w:val="008833EA"/>
    <w:rsid w:val="0088538C"/>
    <w:rsid w:val="0088603B"/>
    <w:rsid w:val="008902B5"/>
    <w:rsid w:val="00891B28"/>
    <w:rsid w:val="008923BB"/>
    <w:rsid w:val="00896D58"/>
    <w:rsid w:val="00896FF3"/>
    <w:rsid w:val="00897EA8"/>
    <w:rsid w:val="008A0161"/>
    <w:rsid w:val="008A1071"/>
    <w:rsid w:val="008A304C"/>
    <w:rsid w:val="008A43AD"/>
    <w:rsid w:val="008A4ACE"/>
    <w:rsid w:val="008A6788"/>
    <w:rsid w:val="008B1D4F"/>
    <w:rsid w:val="008B2B63"/>
    <w:rsid w:val="008B4597"/>
    <w:rsid w:val="008B472B"/>
    <w:rsid w:val="008B50E8"/>
    <w:rsid w:val="008B6403"/>
    <w:rsid w:val="008B6952"/>
    <w:rsid w:val="008B6F90"/>
    <w:rsid w:val="008B7732"/>
    <w:rsid w:val="008C05C5"/>
    <w:rsid w:val="008C1340"/>
    <w:rsid w:val="008C298D"/>
    <w:rsid w:val="008C3B13"/>
    <w:rsid w:val="008C576E"/>
    <w:rsid w:val="008D1F29"/>
    <w:rsid w:val="008D31B1"/>
    <w:rsid w:val="008D468A"/>
    <w:rsid w:val="008D6546"/>
    <w:rsid w:val="008E0C4E"/>
    <w:rsid w:val="008E3A09"/>
    <w:rsid w:val="008E3ADC"/>
    <w:rsid w:val="008E4F2A"/>
    <w:rsid w:val="008E654F"/>
    <w:rsid w:val="008E6738"/>
    <w:rsid w:val="008E68AF"/>
    <w:rsid w:val="008F0C09"/>
    <w:rsid w:val="008F0D4A"/>
    <w:rsid w:val="008F0D9B"/>
    <w:rsid w:val="008F11E5"/>
    <w:rsid w:val="008F32FA"/>
    <w:rsid w:val="008F3714"/>
    <w:rsid w:val="008F40F8"/>
    <w:rsid w:val="008F503D"/>
    <w:rsid w:val="008F515A"/>
    <w:rsid w:val="008F5226"/>
    <w:rsid w:val="00903251"/>
    <w:rsid w:val="00903D39"/>
    <w:rsid w:val="00911650"/>
    <w:rsid w:val="0091279E"/>
    <w:rsid w:val="009127EE"/>
    <w:rsid w:val="00913A57"/>
    <w:rsid w:val="00913E89"/>
    <w:rsid w:val="00916546"/>
    <w:rsid w:val="009236FE"/>
    <w:rsid w:val="0092423D"/>
    <w:rsid w:val="00926209"/>
    <w:rsid w:val="00927229"/>
    <w:rsid w:val="00930F1A"/>
    <w:rsid w:val="009336A4"/>
    <w:rsid w:val="009339E4"/>
    <w:rsid w:val="00933BE5"/>
    <w:rsid w:val="0093405E"/>
    <w:rsid w:val="009351CE"/>
    <w:rsid w:val="00937CDB"/>
    <w:rsid w:val="009417F4"/>
    <w:rsid w:val="00941999"/>
    <w:rsid w:val="00942D41"/>
    <w:rsid w:val="00944FF5"/>
    <w:rsid w:val="009455DE"/>
    <w:rsid w:val="009514F5"/>
    <w:rsid w:val="00951967"/>
    <w:rsid w:val="00951F34"/>
    <w:rsid w:val="009531F6"/>
    <w:rsid w:val="00953923"/>
    <w:rsid w:val="00955444"/>
    <w:rsid w:val="009555EB"/>
    <w:rsid w:val="00955767"/>
    <w:rsid w:val="009558A0"/>
    <w:rsid w:val="00955E6F"/>
    <w:rsid w:val="00957F48"/>
    <w:rsid w:val="00964956"/>
    <w:rsid w:val="00964AAA"/>
    <w:rsid w:val="00965626"/>
    <w:rsid w:val="009660A4"/>
    <w:rsid w:val="00967DE0"/>
    <w:rsid w:val="00971FE5"/>
    <w:rsid w:val="00972384"/>
    <w:rsid w:val="00973ED2"/>
    <w:rsid w:val="0097408C"/>
    <w:rsid w:val="00974138"/>
    <w:rsid w:val="009762F8"/>
    <w:rsid w:val="0097706F"/>
    <w:rsid w:val="00981048"/>
    <w:rsid w:val="00981168"/>
    <w:rsid w:val="00982CF1"/>
    <w:rsid w:val="00985808"/>
    <w:rsid w:val="0098626E"/>
    <w:rsid w:val="00986DA5"/>
    <w:rsid w:val="00993001"/>
    <w:rsid w:val="009936C0"/>
    <w:rsid w:val="00993985"/>
    <w:rsid w:val="00994AB4"/>
    <w:rsid w:val="00994C3D"/>
    <w:rsid w:val="00995B70"/>
    <w:rsid w:val="00995C93"/>
    <w:rsid w:val="0099693D"/>
    <w:rsid w:val="00996F3D"/>
    <w:rsid w:val="0099713B"/>
    <w:rsid w:val="0099717F"/>
    <w:rsid w:val="0099794F"/>
    <w:rsid w:val="009A03F7"/>
    <w:rsid w:val="009A0B46"/>
    <w:rsid w:val="009A0BE9"/>
    <w:rsid w:val="009A1449"/>
    <w:rsid w:val="009A3944"/>
    <w:rsid w:val="009A49ED"/>
    <w:rsid w:val="009A511C"/>
    <w:rsid w:val="009A70F6"/>
    <w:rsid w:val="009A71F6"/>
    <w:rsid w:val="009B1343"/>
    <w:rsid w:val="009B294D"/>
    <w:rsid w:val="009B4182"/>
    <w:rsid w:val="009C0CBC"/>
    <w:rsid w:val="009C33A4"/>
    <w:rsid w:val="009C3E9C"/>
    <w:rsid w:val="009C4BB7"/>
    <w:rsid w:val="009C57F1"/>
    <w:rsid w:val="009C6066"/>
    <w:rsid w:val="009C6466"/>
    <w:rsid w:val="009D1388"/>
    <w:rsid w:val="009D1DB3"/>
    <w:rsid w:val="009D388D"/>
    <w:rsid w:val="009D67C5"/>
    <w:rsid w:val="009E04C6"/>
    <w:rsid w:val="009E149C"/>
    <w:rsid w:val="009E17CF"/>
    <w:rsid w:val="009E371E"/>
    <w:rsid w:val="009E39A7"/>
    <w:rsid w:val="009E4A5B"/>
    <w:rsid w:val="009E4C42"/>
    <w:rsid w:val="009E5594"/>
    <w:rsid w:val="009E6BDB"/>
    <w:rsid w:val="009E73AC"/>
    <w:rsid w:val="009E7A48"/>
    <w:rsid w:val="009F1B07"/>
    <w:rsid w:val="009F46F9"/>
    <w:rsid w:val="009F495C"/>
    <w:rsid w:val="009F550D"/>
    <w:rsid w:val="009F7132"/>
    <w:rsid w:val="009F78F7"/>
    <w:rsid w:val="00A01C63"/>
    <w:rsid w:val="00A0231E"/>
    <w:rsid w:val="00A028E1"/>
    <w:rsid w:val="00A036FC"/>
    <w:rsid w:val="00A070F7"/>
    <w:rsid w:val="00A10C70"/>
    <w:rsid w:val="00A11EAD"/>
    <w:rsid w:val="00A12530"/>
    <w:rsid w:val="00A16401"/>
    <w:rsid w:val="00A165E7"/>
    <w:rsid w:val="00A17692"/>
    <w:rsid w:val="00A228AE"/>
    <w:rsid w:val="00A22D80"/>
    <w:rsid w:val="00A231B1"/>
    <w:rsid w:val="00A23726"/>
    <w:rsid w:val="00A248EA"/>
    <w:rsid w:val="00A24D28"/>
    <w:rsid w:val="00A274AD"/>
    <w:rsid w:val="00A33E09"/>
    <w:rsid w:val="00A35AE0"/>
    <w:rsid w:val="00A35E96"/>
    <w:rsid w:val="00A3629F"/>
    <w:rsid w:val="00A40843"/>
    <w:rsid w:val="00A41040"/>
    <w:rsid w:val="00A41460"/>
    <w:rsid w:val="00A42EA1"/>
    <w:rsid w:val="00A42F56"/>
    <w:rsid w:val="00A44C6D"/>
    <w:rsid w:val="00A45F4F"/>
    <w:rsid w:val="00A505FF"/>
    <w:rsid w:val="00A50FEB"/>
    <w:rsid w:val="00A523FD"/>
    <w:rsid w:val="00A52E71"/>
    <w:rsid w:val="00A540F0"/>
    <w:rsid w:val="00A567F1"/>
    <w:rsid w:val="00A5774B"/>
    <w:rsid w:val="00A6058B"/>
    <w:rsid w:val="00A611E8"/>
    <w:rsid w:val="00A63E6C"/>
    <w:rsid w:val="00A652BD"/>
    <w:rsid w:val="00A65A93"/>
    <w:rsid w:val="00A6665E"/>
    <w:rsid w:val="00A67FE1"/>
    <w:rsid w:val="00A70DC3"/>
    <w:rsid w:val="00A776F2"/>
    <w:rsid w:val="00A77B80"/>
    <w:rsid w:val="00A8101D"/>
    <w:rsid w:val="00A843C3"/>
    <w:rsid w:val="00A858BA"/>
    <w:rsid w:val="00A86131"/>
    <w:rsid w:val="00A86275"/>
    <w:rsid w:val="00A86A0C"/>
    <w:rsid w:val="00A87071"/>
    <w:rsid w:val="00A870DC"/>
    <w:rsid w:val="00A87EBF"/>
    <w:rsid w:val="00A90401"/>
    <w:rsid w:val="00A9168B"/>
    <w:rsid w:val="00A91750"/>
    <w:rsid w:val="00A91922"/>
    <w:rsid w:val="00A94077"/>
    <w:rsid w:val="00A94432"/>
    <w:rsid w:val="00A948BD"/>
    <w:rsid w:val="00A952F6"/>
    <w:rsid w:val="00A96344"/>
    <w:rsid w:val="00AA1454"/>
    <w:rsid w:val="00AA2341"/>
    <w:rsid w:val="00AA3475"/>
    <w:rsid w:val="00AA4447"/>
    <w:rsid w:val="00AA4BD7"/>
    <w:rsid w:val="00AA5B67"/>
    <w:rsid w:val="00AA6698"/>
    <w:rsid w:val="00AA76E6"/>
    <w:rsid w:val="00AB0017"/>
    <w:rsid w:val="00AB05D9"/>
    <w:rsid w:val="00AB1AFD"/>
    <w:rsid w:val="00AB1D72"/>
    <w:rsid w:val="00AB2E8A"/>
    <w:rsid w:val="00AB3013"/>
    <w:rsid w:val="00AB5C77"/>
    <w:rsid w:val="00AB6104"/>
    <w:rsid w:val="00AC0059"/>
    <w:rsid w:val="00AC2DD3"/>
    <w:rsid w:val="00AC3A88"/>
    <w:rsid w:val="00AC446C"/>
    <w:rsid w:val="00AD075D"/>
    <w:rsid w:val="00AD0EB5"/>
    <w:rsid w:val="00AD104C"/>
    <w:rsid w:val="00AD14E7"/>
    <w:rsid w:val="00AD2707"/>
    <w:rsid w:val="00AD3014"/>
    <w:rsid w:val="00AD73C2"/>
    <w:rsid w:val="00AD7727"/>
    <w:rsid w:val="00AE193A"/>
    <w:rsid w:val="00AE239A"/>
    <w:rsid w:val="00AE3D22"/>
    <w:rsid w:val="00AE4A2F"/>
    <w:rsid w:val="00AF1E54"/>
    <w:rsid w:val="00AF3EA5"/>
    <w:rsid w:val="00AF3F2D"/>
    <w:rsid w:val="00AF4A07"/>
    <w:rsid w:val="00AF4D2B"/>
    <w:rsid w:val="00B0260B"/>
    <w:rsid w:val="00B0262B"/>
    <w:rsid w:val="00B043A7"/>
    <w:rsid w:val="00B068F7"/>
    <w:rsid w:val="00B11BCB"/>
    <w:rsid w:val="00B12431"/>
    <w:rsid w:val="00B12C6A"/>
    <w:rsid w:val="00B153DE"/>
    <w:rsid w:val="00B1766A"/>
    <w:rsid w:val="00B200A9"/>
    <w:rsid w:val="00B21C3E"/>
    <w:rsid w:val="00B228CD"/>
    <w:rsid w:val="00B232AC"/>
    <w:rsid w:val="00B25F51"/>
    <w:rsid w:val="00B262F1"/>
    <w:rsid w:val="00B30697"/>
    <w:rsid w:val="00B34566"/>
    <w:rsid w:val="00B35910"/>
    <w:rsid w:val="00B368D8"/>
    <w:rsid w:val="00B36D0C"/>
    <w:rsid w:val="00B37091"/>
    <w:rsid w:val="00B377B9"/>
    <w:rsid w:val="00B40439"/>
    <w:rsid w:val="00B4283A"/>
    <w:rsid w:val="00B4283F"/>
    <w:rsid w:val="00B4474B"/>
    <w:rsid w:val="00B447A0"/>
    <w:rsid w:val="00B4731D"/>
    <w:rsid w:val="00B5009A"/>
    <w:rsid w:val="00B5186C"/>
    <w:rsid w:val="00B5264A"/>
    <w:rsid w:val="00B536C3"/>
    <w:rsid w:val="00B542C9"/>
    <w:rsid w:val="00B5565D"/>
    <w:rsid w:val="00B579B0"/>
    <w:rsid w:val="00B60785"/>
    <w:rsid w:val="00B60939"/>
    <w:rsid w:val="00B61A84"/>
    <w:rsid w:val="00B61CED"/>
    <w:rsid w:val="00B646F1"/>
    <w:rsid w:val="00B65788"/>
    <w:rsid w:val="00B66459"/>
    <w:rsid w:val="00B67145"/>
    <w:rsid w:val="00B67D49"/>
    <w:rsid w:val="00B73CDB"/>
    <w:rsid w:val="00B74384"/>
    <w:rsid w:val="00B750C4"/>
    <w:rsid w:val="00B755DD"/>
    <w:rsid w:val="00B82247"/>
    <w:rsid w:val="00B85FE4"/>
    <w:rsid w:val="00B90E7A"/>
    <w:rsid w:val="00B9107B"/>
    <w:rsid w:val="00B911BC"/>
    <w:rsid w:val="00B965CE"/>
    <w:rsid w:val="00BA01A1"/>
    <w:rsid w:val="00BA2AB0"/>
    <w:rsid w:val="00BA2D64"/>
    <w:rsid w:val="00BA4C8E"/>
    <w:rsid w:val="00BA6123"/>
    <w:rsid w:val="00BA6C0E"/>
    <w:rsid w:val="00BA752B"/>
    <w:rsid w:val="00BB2952"/>
    <w:rsid w:val="00BB3501"/>
    <w:rsid w:val="00BB382B"/>
    <w:rsid w:val="00BB4A00"/>
    <w:rsid w:val="00BB6100"/>
    <w:rsid w:val="00BB6801"/>
    <w:rsid w:val="00BB71C8"/>
    <w:rsid w:val="00BC10B2"/>
    <w:rsid w:val="00BC17B7"/>
    <w:rsid w:val="00BC1926"/>
    <w:rsid w:val="00BC1AD1"/>
    <w:rsid w:val="00BC2026"/>
    <w:rsid w:val="00BC2CBC"/>
    <w:rsid w:val="00BC30C0"/>
    <w:rsid w:val="00BC312E"/>
    <w:rsid w:val="00BC3B13"/>
    <w:rsid w:val="00BC7C28"/>
    <w:rsid w:val="00BD0778"/>
    <w:rsid w:val="00BD245F"/>
    <w:rsid w:val="00BD348B"/>
    <w:rsid w:val="00BD3A1F"/>
    <w:rsid w:val="00BD4061"/>
    <w:rsid w:val="00BD4571"/>
    <w:rsid w:val="00BD51CB"/>
    <w:rsid w:val="00BD59EC"/>
    <w:rsid w:val="00BD7686"/>
    <w:rsid w:val="00BE0AA9"/>
    <w:rsid w:val="00BE5ACF"/>
    <w:rsid w:val="00BE6252"/>
    <w:rsid w:val="00BE7255"/>
    <w:rsid w:val="00BE768F"/>
    <w:rsid w:val="00BF1209"/>
    <w:rsid w:val="00C015E4"/>
    <w:rsid w:val="00C027D8"/>
    <w:rsid w:val="00C03911"/>
    <w:rsid w:val="00C05418"/>
    <w:rsid w:val="00C054C8"/>
    <w:rsid w:val="00C10FCA"/>
    <w:rsid w:val="00C142EB"/>
    <w:rsid w:val="00C15E50"/>
    <w:rsid w:val="00C17544"/>
    <w:rsid w:val="00C17806"/>
    <w:rsid w:val="00C17C63"/>
    <w:rsid w:val="00C2142A"/>
    <w:rsid w:val="00C234CE"/>
    <w:rsid w:val="00C2359C"/>
    <w:rsid w:val="00C23B31"/>
    <w:rsid w:val="00C2401F"/>
    <w:rsid w:val="00C26CCA"/>
    <w:rsid w:val="00C30C3C"/>
    <w:rsid w:val="00C31CE5"/>
    <w:rsid w:val="00C329E8"/>
    <w:rsid w:val="00C3365D"/>
    <w:rsid w:val="00C344A1"/>
    <w:rsid w:val="00C34DD7"/>
    <w:rsid w:val="00C409E0"/>
    <w:rsid w:val="00C4138D"/>
    <w:rsid w:val="00C42843"/>
    <w:rsid w:val="00C43D32"/>
    <w:rsid w:val="00C4538D"/>
    <w:rsid w:val="00C46B78"/>
    <w:rsid w:val="00C51C41"/>
    <w:rsid w:val="00C52278"/>
    <w:rsid w:val="00C54428"/>
    <w:rsid w:val="00C55EAA"/>
    <w:rsid w:val="00C62427"/>
    <w:rsid w:val="00C6674B"/>
    <w:rsid w:val="00C71F27"/>
    <w:rsid w:val="00C73E69"/>
    <w:rsid w:val="00C749FD"/>
    <w:rsid w:val="00C74AD2"/>
    <w:rsid w:val="00C775D2"/>
    <w:rsid w:val="00C80B27"/>
    <w:rsid w:val="00C831D8"/>
    <w:rsid w:val="00C86051"/>
    <w:rsid w:val="00C87F95"/>
    <w:rsid w:val="00C913EC"/>
    <w:rsid w:val="00C93FFF"/>
    <w:rsid w:val="00C96552"/>
    <w:rsid w:val="00C968FB"/>
    <w:rsid w:val="00C97953"/>
    <w:rsid w:val="00C97CC1"/>
    <w:rsid w:val="00CA196D"/>
    <w:rsid w:val="00CA1CAE"/>
    <w:rsid w:val="00CA3EF9"/>
    <w:rsid w:val="00CA47A5"/>
    <w:rsid w:val="00CA576F"/>
    <w:rsid w:val="00CA6012"/>
    <w:rsid w:val="00CA65A7"/>
    <w:rsid w:val="00CA6AA7"/>
    <w:rsid w:val="00CB3316"/>
    <w:rsid w:val="00CB3341"/>
    <w:rsid w:val="00CB3E08"/>
    <w:rsid w:val="00CB514C"/>
    <w:rsid w:val="00CB53A3"/>
    <w:rsid w:val="00CC0A34"/>
    <w:rsid w:val="00CC1077"/>
    <w:rsid w:val="00CC2740"/>
    <w:rsid w:val="00CC3088"/>
    <w:rsid w:val="00CC3DFB"/>
    <w:rsid w:val="00CC4027"/>
    <w:rsid w:val="00CD06F4"/>
    <w:rsid w:val="00CD0BEE"/>
    <w:rsid w:val="00CD1223"/>
    <w:rsid w:val="00CD28C8"/>
    <w:rsid w:val="00CD2FA1"/>
    <w:rsid w:val="00CD31AD"/>
    <w:rsid w:val="00CD790F"/>
    <w:rsid w:val="00CE11C0"/>
    <w:rsid w:val="00CE23CA"/>
    <w:rsid w:val="00CE2B64"/>
    <w:rsid w:val="00CE37AF"/>
    <w:rsid w:val="00CE712E"/>
    <w:rsid w:val="00CE7259"/>
    <w:rsid w:val="00CF01D1"/>
    <w:rsid w:val="00CF05D1"/>
    <w:rsid w:val="00CF28E2"/>
    <w:rsid w:val="00CF4B12"/>
    <w:rsid w:val="00CF5738"/>
    <w:rsid w:val="00CF7FD8"/>
    <w:rsid w:val="00D00834"/>
    <w:rsid w:val="00D012CC"/>
    <w:rsid w:val="00D018C8"/>
    <w:rsid w:val="00D03280"/>
    <w:rsid w:val="00D05074"/>
    <w:rsid w:val="00D06D95"/>
    <w:rsid w:val="00D076AB"/>
    <w:rsid w:val="00D12109"/>
    <w:rsid w:val="00D13163"/>
    <w:rsid w:val="00D14125"/>
    <w:rsid w:val="00D165C4"/>
    <w:rsid w:val="00D22D26"/>
    <w:rsid w:val="00D2582E"/>
    <w:rsid w:val="00D26E92"/>
    <w:rsid w:val="00D30AC2"/>
    <w:rsid w:val="00D327D7"/>
    <w:rsid w:val="00D33ED5"/>
    <w:rsid w:val="00D34DA5"/>
    <w:rsid w:val="00D354AD"/>
    <w:rsid w:val="00D36CB9"/>
    <w:rsid w:val="00D36D3C"/>
    <w:rsid w:val="00D36E40"/>
    <w:rsid w:val="00D4042A"/>
    <w:rsid w:val="00D41ABC"/>
    <w:rsid w:val="00D45251"/>
    <w:rsid w:val="00D45849"/>
    <w:rsid w:val="00D54005"/>
    <w:rsid w:val="00D5460C"/>
    <w:rsid w:val="00D55622"/>
    <w:rsid w:val="00D61E3C"/>
    <w:rsid w:val="00D62D32"/>
    <w:rsid w:val="00D63972"/>
    <w:rsid w:val="00D646F5"/>
    <w:rsid w:val="00D64B28"/>
    <w:rsid w:val="00D65979"/>
    <w:rsid w:val="00D66D77"/>
    <w:rsid w:val="00D67F35"/>
    <w:rsid w:val="00D70A9B"/>
    <w:rsid w:val="00D70D6F"/>
    <w:rsid w:val="00D70E0F"/>
    <w:rsid w:val="00D750EF"/>
    <w:rsid w:val="00D813B5"/>
    <w:rsid w:val="00D82D89"/>
    <w:rsid w:val="00D87CFF"/>
    <w:rsid w:val="00D87F15"/>
    <w:rsid w:val="00D90702"/>
    <w:rsid w:val="00D9220A"/>
    <w:rsid w:val="00D95B42"/>
    <w:rsid w:val="00DA0244"/>
    <w:rsid w:val="00DA0A4A"/>
    <w:rsid w:val="00DA42C8"/>
    <w:rsid w:val="00DA4797"/>
    <w:rsid w:val="00DB1EEE"/>
    <w:rsid w:val="00DB44CC"/>
    <w:rsid w:val="00DB6B9A"/>
    <w:rsid w:val="00DB7EC2"/>
    <w:rsid w:val="00DC49D1"/>
    <w:rsid w:val="00DD0327"/>
    <w:rsid w:val="00DD1FA8"/>
    <w:rsid w:val="00DD2852"/>
    <w:rsid w:val="00DD4788"/>
    <w:rsid w:val="00DD567C"/>
    <w:rsid w:val="00DD6C0B"/>
    <w:rsid w:val="00DE1E8A"/>
    <w:rsid w:val="00DE30F5"/>
    <w:rsid w:val="00DE63DA"/>
    <w:rsid w:val="00DE6446"/>
    <w:rsid w:val="00DF14DE"/>
    <w:rsid w:val="00DF181C"/>
    <w:rsid w:val="00DF2597"/>
    <w:rsid w:val="00DF263D"/>
    <w:rsid w:val="00DF26E7"/>
    <w:rsid w:val="00DF2F4A"/>
    <w:rsid w:val="00DF34C0"/>
    <w:rsid w:val="00DF7C66"/>
    <w:rsid w:val="00E001FF"/>
    <w:rsid w:val="00E00345"/>
    <w:rsid w:val="00E00E1F"/>
    <w:rsid w:val="00E017E3"/>
    <w:rsid w:val="00E0206E"/>
    <w:rsid w:val="00E040DE"/>
    <w:rsid w:val="00E04463"/>
    <w:rsid w:val="00E05444"/>
    <w:rsid w:val="00E11F08"/>
    <w:rsid w:val="00E139E5"/>
    <w:rsid w:val="00E13CD0"/>
    <w:rsid w:val="00E141F3"/>
    <w:rsid w:val="00E149C6"/>
    <w:rsid w:val="00E16F60"/>
    <w:rsid w:val="00E2023F"/>
    <w:rsid w:val="00E21888"/>
    <w:rsid w:val="00E21C56"/>
    <w:rsid w:val="00E268C6"/>
    <w:rsid w:val="00E3111A"/>
    <w:rsid w:val="00E319A4"/>
    <w:rsid w:val="00E3477D"/>
    <w:rsid w:val="00E3633F"/>
    <w:rsid w:val="00E37619"/>
    <w:rsid w:val="00E43159"/>
    <w:rsid w:val="00E431BC"/>
    <w:rsid w:val="00E44B00"/>
    <w:rsid w:val="00E44B8E"/>
    <w:rsid w:val="00E4669F"/>
    <w:rsid w:val="00E46A1B"/>
    <w:rsid w:val="00E47931"/>
    <w:rsid w:val="00E479A8"/>
    <w:rsid w:val="00E50AA9"/>
    <w:rsid w:val="00E51F3D"/>
    <w:rsid w:val="00E54105"/>
    <w:rsid w:val="00E547FB"/>
    <w:rsid w:val="00E5495B"/>
    <w:rsid w:val="00E54E52"/>
    <w:rsid w:val="00E55310"/>
    <w:rsid w:val="00E564AC"/>
    <w:rsid w:val="00E60B7E"/>
    <w:rsid w:val="00E60C9A"/>
    <w:rsid w:val="00E624B9"/>
    <w:rsid w:val="00E63867"/>
    <w:rsid w:val="00E64CC6"/>
    <w:rsid w:val="00E6657D"/>
    <w:rsid w:val="00E66C90"/>
    <w:rsid w:val="00E708F7"/>
    <w:rsid w:val="00E71C39"/>
    <w:rsid w:val="00E729D0"/>
    <w:rsid w:val="00E733ED"/>
    <w:rsid w:val="00E739ED"/>
    <w:rsid w:val="00E745BF"/>
    <w:rsid w:val="00E756AB"/>
    <w:rsid w:val="00E758FE"/>
    <w:rsid w:val="00E76161"/>
    <w:rsid w:val="00E773DB"/>
    <w:rsid w:val="00E841F9"/>
    <w:rsid w:val="00E852DA"/>
    <w:rsid w:val="00E8531B"/>
    <w:rsid w:val="00E9050F"/>
    <w:rsid w:val="00E90A50"/>
    <w:rsid w:val="00E91089"/>
    <w:rsid w:val="00E92A8D"/>
    <w:rsid w:val="00E94E01"/>
    <w:rsid w:val="00E955C2"/>
    <w:rsid w:val="00E97EC7"/>
    <w:rsid w:val="00EA1E2D"/>
    <w:rsid w:val="00EA49B1"/>
    <w:rsid w:val="00EA4FE5"/>
    <w:rsid w:val="00EA58BD"/>
    <w:rsid w:val="00EA7206"/>
    <w:rsid w:val="00EA74A1"/>
    <w:rsid w:val="00EB0236"/>
    <w:rsid w:val="00EB0978"/>
    <w:rsid w:val="00EB2A7D"/>
    <w:rsid w:val="00EB2DA5"/>
    <w:rsid w:val="00EB4977"/>
    <w:rsid w:val="00EB7920"/>
    <w:rsid w:val="00EC034B"/>
    <w:rsid w:val="00EC07DF"/>
    <w:rsid w:val="00EC527E"/>
    <w:rsid w:val="00EC6389"/>
    <w:rsid w:val="00ED1181"/>
    <w:rsid w:val="00ED1591"/>
    <w:rsid w:val="00ED2B80"/>
    <w:rsid w:val="00ED3410"/>
    <w:rsid w:val="00ED3943"/>
    <w:rsid w:val="00ED5CBB"/>
    <w:rsid w:val="00ED7A32"/>
    <w:rsid w:val="00EE07A6"/>
    <w:rsid w:val="00EE1BD8"/>
    <w:rsid w:val="00EF02F7"/>
    <w:rsid w:val="00EF31AF"/>
    <w:rsid w:val="00EF381F"/>
    <w:rsid w:val="00EF3BC6"/>
    <w:rsid w:val="00EF46D2"/>
    <w:rsid w:val="00EF4C33"/>
    <w:rsid w:val="00F00701"/>
    <w:rsid w:val="00F014FA"/>
    <w:rsid w:val="00F04B91"/>
    <w:rsid w:val="00F04C19"/>
    <w:rsid w:val="00F05106"/>
    <w:rsid w:val="00F07CB6"/>
    <w:rsid w:val="00F10013"/>
    <w:rsid w:val="00F10CC5"/>
    <w:rsid w:val="00F113C3"/>
    <w:rsid w:val="00F132F5"/>
    <w:rsid w:val="00F153F9"/>
    <w:rsid w:val="00F17543"/>
    <w:rsid w:val="00F1798E"/>
    <w:rsid w:val="00F205BF"/>
    <w:rsid w:val="00F20C4B"/>
    <w:rsid w:val="00F23A27"/>
    <w:rsid w:val="00F23B9D"/>
    <w:rsid w:val="00F246DE"/>
    <w:rsid w:val="00F2664D"/>
    <w:rsid w:val="00F2765A"/>
    <w:rsid w:val="00F300E0"/>
    <w:rsid w:val="00F31366"/>
    <w:rsid w:val="00F33395"/>
    <w:rsid w:val="00F340A2"/>
    <w:rsid w:val="00F37426"/>
    <w:rsid w:val="00F41D5D"/>
    <w:rsid w:val="00F42303"/>
    <w:rsid w:val="00F43DB5"/>
    <w:rsid w:val="00F461A7"/>
    <w:rsid w:val="00F468DF"/>
    <w:rsid w:val="00F46D44"/>
    <w:rsid w:val="00F476FC"/>
    <w:rsid w:val="00F478AF"/>
    <w:rsid w:val="00F514E6"/>
    <w:rsid w:val="00F522AB"/>
    <w:rsid w:val="00F54992"/>
    <w:rsid w:val="00F625A8"/>
    <w:rsid w:val="00F62666"/>
    <w:rsid w:val="00F6281E"/>
    <w:rsid w:val="00F7053E"/>
    <w:rsid w:val="00F70CF3"/>
    <w:rsid w:val="00F7479B"/>
    <w:rsid w:val="00F751F5"/>
    <w:rsid w:val="00F80BB3"/>
    <w:rsid w:val="00F81973"/>
    <w:rsid w:val="00F83854"/>
    <w:rsid w:val="00F850FB"/>
    <w:rsid w:val="00F85C53"/>
    <w:rsid w:val="00F867B7"/>
    <w:rsid w:val="00F87B90"/>
    <w:rsid w:val="00F92223"/>
    <w:rsid w:val="00F927DF"/>
    <w:rsid w:val="00F945B4"/>
    <w:rsid w:val="00F9546A"/>
    <w:rsid w:val="00F9577A"/>
    <w:rsid w:val="00F957EA"/>
    <w:rsid w:val="00F95904"/>
    <w:rsid w:val="00F95D57"/>
    <w:rsid w:val="00F972F0"/>
    <w:rsid w:val="00FA3623"/>
    <w:rsid w:val="00FA36CF"/>
    <w:rsid w:val="00FA4EE4"/>
    <w:rsid w:val="00FA7D02"/>
    <w:rsid w:val="00FB339E"/>
    <w:rsid w:val="00FB5CDE"/>
    <w:rsid w:val="00FB5E9B"/>
    <w:rsid w:val="00FB653F"/>
    <w:rsid w:val="00FB6B71"/>
    <w:rsid w:val="00FC270C"/>
    <w:rsid w:val="00FC313D"/>
    <w:rsid w:val="00FC3213"/>
    <w:rsid w:val="00FC6202"/>
    <w:rsid w:val="00FC7A53"/>
    <w:rsid w:val="00FC7E7D"/>
    <w:rsid w:val="00FD2AFC"/>
    <w:rsid w:val="00FD4F31"/>
    <w:rsid w:val="00FD636E"/>
    <w:rsid w:val="00FE05F7"/>
    <w:rsid w:val="00FE1A65"/>
    <w:rsid w:val="00FE1B85"/>
    <w:rsid w:val="00FE227B"/>
    <w:rsid w:val="00FE3192"/>
    <w:rsid w:val="00FE77C2"/>
    <w:rsid w:val="00FE7E8B"/>
    <w:rsid w:val="00FF2698"/>
    <w:rsid w:val="00FF3847"/>
    <w:rsid w:val="00FF3865"/>
    <w:rsid w:val="00FF4C11"/>
    <w:rsid w:val="00FF6477"/>
    <w:rsid w:val="00FF74D2"/>
    <w:rsid w:val="00FF7B01"/>
    <w:rsid w:val="00FF7E1C"/>
    <w:rsid w:val="0156CCF7"/>
    <w:rsid w:val="017AF467"/>
    <w:rsid w:val="01D6235D"/>
    <w:rsid w:val="02FA67D1"/>
    <w:rsid w:val="032BADB0"/>
    <w:rsid w:val="03ADE9F3"/>
    <w:rsid w:val="045D86C2"/>
    <w:rsid w:val="0576FA59"/>
    <w:rsid w:val="06AF689E"/>
    <w:rsid w:val="06C17E40"/>
    <w:rsid w:val="07375D18"/>
    <w:rsid w:val="07AF1272"/>
    <w:rsid w:val="08B26028"/>
    <w:rsid w:val="091ECD1A"/>
    <w:rsid w:val="09667A8D"/>
    <w:rsid w:val="0DC6B42E"/>
    <w:rsid w:val="0E3516AF"/>
    <w:rsid w:val="0EE4E555"/>
    <w:rsid w:val="0EF126AC"/>
    <w:rsid w:val="10AA33AB"/>
    <w:rsid w:val="113A0E97"/>
    <w:rsid w:val="11AC8CDE"/>
    <w:rsid w:val="12610310"/>
    <w:rsid w:val="1338F2F1"/>
    <w:rsid w:val="133D0D5A"/>
    <w:rsid w:val="13741D75"/>
    <w:rsid w:val="13D89371"/>
    <w:rsid w:val="143F18C0"/>
    <w:rsid w:val="1453E2B5"/>
    <w:rsid w:val="1512310F"/>
    <w:rsid w:val="1517539D"/>
    <w:rsid w:val="1618CD24"/>
    <w:rsid w:val="16C248CC"/>
    <w:rsid w:val="19B6831A"/>
    <w:rsid w:val="19EDA6C6"/>
    <w:rsid w:val="1BEB11ED"/>
    <w:rsid w:val="1C6468BD"/>
    <w:rsid w:val="1CF662C2"/>
    <w:rsid w:val="1D14E29C"/>
    <w:rsid w:val="1D9CDC99"/>
    <w:rsid w:val="1DAF214B"/>
    <w:rsid w:val="1DD37C76"/>
    <w:rsid w:val="1DE3FE97"/>
    <w:rsid w:val="1E04619F"/>
    <w:rsid w:val="1F223721"/>
    <w:rsid w:val="1FD7C89C"/>
    <w:rsid w:val="21560269"/>
    <w:rsid w:val="21ABA90C"/>
    <w:rsid w:val="21F51B3A"/>
    <w:rsid w:val="228AEE55"/>
    <w:rsid w:val="23004E85"/>
    <w:rsid w:val="23024B37"/>
    <w:rsid w:val="2369C0DA"/>
    <w:rsid w:val="249CFC67"/>
    <w:rsid w:val="264194E2"/>
    <w:rsid w:val="270CDB99"/>
    <w:rsid w:val="279DB9E3"/>
    <w:rsid w:val="2812DB2D"/>
    <w:rsid w:val="28ABBCE9"/>
    <w:rsid w:val="2950308C"/>
    <w:rsid w:val="29E686E1"/>
    <w:rsid w:val="2B1E9E03"/>
    <w:rsid w:val="2B4BE580"/>
    <w:rsid w:val="2B5596B9"/>
    <w:rsid w:val="2BB8B888"/>
    <w:rsid w:val="2BC0E77A"/>
    <w:rsid w:val="2C70FEE9"/>
    <w:rsid w:val="2D443C09"/>
    <w:rsid w:val="2E79E560"/>
    <w:rsid w:val="2E87A6AC"/>
    <w:rsid w:val="2EE239AA"/>
    <w:rsid w:val="2F08EB47"/>
    <w:rsid w:val="2F289203"/>
    <w:rsid w:val="2FE591F0"/>
    <w:rsid w:val="3028F046"/>
    <w:rsid w:val="314E91A0"/>
    <w:rsid w:val="31A43C67"/>
    <w:rsid w:val="3238F041"/>
    <w:rsid w:val="338A0E8A"/>
    <w:rsid w:val="33F0DCBB"/>
    <w:rsid w:val="34266AD3"/>
    <w:rsid w:val="34B04702"/>
    <w:rsid w:val="34EBE9C9"/>
    <w:rsid w:val="36114FB1"/>
    <w:rsid w:val="366B8CA3"/>
    <w:rsid w:val="36BE16B4"/>
    <w:rsid w:val="3799CADA"/>
    <w:rsid w:val="3922E35D"/>
    <w:rsid w:val="393225F6"/>
    <w:rsid w:val="39F9D838"/>
    <w:rsid w:val="3AF97FB3"/>
    <w:rsid w:val="3BEFF9F6"/>
    <w:rsid w:val="3C16F370"/>
    <w:rsid w:val="3D1EB8DF"/>
    <w:rsid w:val="3D21A460"/>
    <w:rsid w:val="3D812F91"/>
    <w:rsid w:val="3D88176B"/>
    <w:rsid w:val="3DE3A221"/>
    <w:rsid w:val="3F5C5C36"/>
    <w:rsid w:val="3F6B4808"/>
    <w:rsid w:val="408F29A5"/>
    <w:rsid w:val="415FA696"/>
    <w:rsid w:val="41A67129"/>
    <w:rsid w:val="41BF065D"/>
    <w:rsid w:val="41DE7E98"/>
    <w:rsid w:val="4217ED55"/>
    <w:rsid w:val="421F808D"/>
    <w:rsid w:val="42A61FCC"/>
    <w:rsid w:val="446E22DB"/>
    <w:rsid w:val="45679E76"/>
    <w:rsid w:val="46D70F95"/>
    <w:rsid w:val="4965D6B9"/>
    <w:rsid w:val="4A6C035E"/>
    <w:rsid w:val="4B5536AE"/>
    <w:rsid w:val="4C194F64"/>
    <w:rsid w:val="4CC2C267"/>
    <w:rsid w:val="509FB731"/>
    <w:rsid w:val="51642C51"/>
    <w:rsid w:val="5168D956"/>
    <w:rsid w:val="529B8791"/>
    <w:rsid w:val="52D63780"/>
    <w:rsid w:val="54650D2C"/>
    <w:rsid w:val="549CAA9E"/>
    <w:rsid w:val="55E584CA"/>
    <w:rsid w:val="57358871"/>
    <w:rsid w:val="588B1CD8"/>
    <w:rsid w:val="5A8030DE"/>
    <w:rsid w:val="5AE009D2"/>
    <w:rsid w:val="5AE7D424"/>
    <w:rsid w:val="5CFE4FCA"/>
    <w:rsid w:val="5EB629B7"/>
    <w:rsid w:val="607760A7"/>
    <w:rsid w:val="609A6210"/>
    <w:rsid w:val="61A4E9D1"/>
    <w:rsid w:val="622F5703"/>
    <w:rsid w:val="62385578"/>
    <w:rsid w:val="634383DA"/>
    <w:rsid w:val="63CDE546"/>
    <w:rsid w:val="643995CE"/>
    <w:rsid w:val="64A1D71D"/>
    <w:rsid w:val="6681975F"/>
    <w:rsid w:val="691479CA"/>
    <w:rsid w:val="69640E21"/>
    <w:rsid w:val="69783704"/>
    <w:rsid w:val="6A8A7652"/>
    <w:rsid w:val="6AAA560C"/>
    <w:rsid w:val="6AD0A5D1"/>
    <w:rsid w:val="6B1966F6"/>
    <w:rsid w:val="6B412875"/>
    <w:rsid w:val="6B5DE697"/>
    <w:rsid w:val="6C04D2CC"/>
    <w:rsid w:val="70F7F9FB"/>
    <w:rsid w:val="721DC9CA"/>
    <w:rsid w:val="72515525"/>
    <w:rsid w:val="72EA4B08"/>
    <w:rsid w:val="73A46985"/>
    <w:rsid w:val="73AC5918"/>
    <w:rsid w:val="74D53286"/>
    <w:rsid w:val="75D9FD26"/>
    <w:rsid w:val="75E83E5E"/>
    <w:rsid w:val="7679F530"/>
    <w:rsid w:val="76CEB739"/>
    <w:rsid w:val="773524D0"/>
    <w:rsid w:val="777423D5"/>
    <w:rsid w:val="77DF0704"/>
    <w:rsid w:val="78616A6D"/>
    <w:rsid w:val="78D567ED"/>
    <w:rsid w:val="796CF865"/>
    <w:rsid w:val="798D2A99"/>
    <w:rsid w:val="79DDC6E1"/>
    <w:rsid w:val="7A07B6E6"/>
    <w:rsid w:val="7A91E88F"/>
    <w:rsid w:val="7AD0E054"/>
    <w:rsid w:val="7CD16C97"/>
    <w:rsid w:val="7EA17FB3"/>
    <w:rsid w:val="7FA465F7"/>
    <w:rsid w:val="7FCF0AF3"/>
    <w:rsid w:val="7FF40C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04B91"/>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414DCD"/>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C749FD"/>
    <w:pPr>
      <w:spacing w:before="160" w:after="120"/>
      <w:outlineLvl w:val="1"/>
    </w:pPr>
    <w:rPr>
      <w:b/>
      <w:color w:val="005467"/>
      <w:sz w:val="36"/>
      <w:szCs w:val="32"/>
    </w:rPr>
  </w:style>
  <w:style w:type="paragraph" w:styleId="Heading3">
    <w:name w:val="heading 3"/>
    <w:basedOn w:val="Normal"/>
    <w:next w:val="Normal"/>
    <w:link w:val="Heading3Char"/>
    <w:autoRedefine/>
    <w:uiPriority w:val="9"/>
    <w:unhideWhenUsed/>
    <w:qFormat/>
    <w:rsid w:val="00BB71C8"/>
    <w:pPr>
      <w:keepNext/>
      <w:keepLines/>
      <w:spacing w:before="160" w:after="120" w:line="240" w:lineRule="auto"/>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1861D7"/>
    <w:pPr>
      <w:keepNext/>
      <w:keepLines/>
      <w:spacing w:before="40" w:after="120"/>
      <w:jc w:val="center"/>
      <w:outlineLvl w:val="3"/>
    </w:pPr>
    <w:rPr>
      <w:rFonts w:eastAsiaTheme="majorEastAsia" w:cstheme="majorBidi"/>
      <w:b/>
      <w:iCs/>
      <w:szCs w:val="26"/>
      <w:u w:val="single"/>
    </w:rPr>
  </w:style>
  <w:style w:type="paragraph" w:styleId="Heading5">
    <w:name w:val="heading 5"/>
    <w:basedOn w:val="Normal"/>
    <w:next w:val="Normal"/>
    <w:link w:val="Heading5Char"/>
    <w:autoRedefine/>
    <w:uiPriority w:val="9"/>
    <w:unhideWhenUsed/>
    <w:qFormat/>
    <w:rsid w:val="000D11AE"/>
    <w:pPr>
      <w:keepNext/>
      <w:keepLines/>
      <w:spacing w:before="60" w:after="60"/>
      <w:outlineLvl w:val="4"/>
    </w:pPr>
    <w:rPr>
      <w:rFonts w:eastAsiaTheme="majorEastAsia" w:cstheme="majorBidi"/>
      <w:b/>
      <w:color w:val="00B0F0"/>
      <w:szCs w:val="24"/>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414DCD"/>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C749FD"/>
    <w:rPr>
      <w:rFonts w:ascii="Arial" w:hAnsi="Arial" w:cs="Arial"/>
      <w:b/>
      <w:color w:val="005467"/>
      <w:sz w:val="36"/>
      <w:szCs w:val="32"/>
    </w:rPr>
  </w:style>
  <w:style w:type="character" w:customStyle="1" w:styleId="Heading3Char">
    <w:name w:val="Heading 3 Char"/>
    <w:basedOn w:val="DefaultParagraphFont"/>
    <w:link w:val="Heading3"/>
    <w:uiPriority w:val="9"/>
    <w:rsid w:val="00BB71C8"/>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34"/>
    <w:qFormat/>
    <w:rsid w:val="004B203B"/>
    <w:pPr>
      <w:numPr>
        <w:numId w:val="23"/>
      </w:numPr>
      <w:spacing w:after="200"/>
      <w:contextualSpacing/>
    </w:pPr>
    <w:rPr>
      <w:rFonts w:cstheme="minorBidi"/>
      <w:szCs w:val="24"/>
    </w:rPr>
  </w:style>
  <w:style w:type="character" w:customStyle="1" w:styleId="Heading4Char">
    <w:name w:val="Heading 4 Char"/>
    <w:basedOn w:val="DefaultParagraphFont"/>
    <w:link w:val="Heading4"/>
    <w:uiPriority w:val="9"/>
    <w:rsid w:val="001861D7"/>
    <w:rPr>
      <w:rFonts w:ascii="Arial" w:eastAsiaTheme="majorEastAsia" w:hAnsi="Arial" w:cstheme="majorBidi"/>
      <w:b/>
      <w:iCs/>
      <w:color w:val="000000" w:themeColor="text1"/>
      <w:sz w:val="24"/>
      <w:szCs w:val="26"/>
      <w:u w:val="single"/>
    </w:rPr>
  </w:style>
  <w:style w:type="character" w:customStyle="1" w:styleId="Heading5Char">
    <w:name w:val="Heading 5 Char"/>
    <w:basedOn w:val="DefaultParagraphFont"/>
    <w:link w:val="Heading5"/>
    <w:uiPriority w:val="9"/>
    <w:rsid w:val="000D11AE"/>
    <w:rPr>
      <w:rFonts w:ascii="Arial" w:eastAsiaTheme="majorEastAsia" w:hAnsi="Arial" w:cstheme="majorBidi"/>
      <w:b/>
      <w:color w:val="00B0F0"/>
      <w:sz w:val="24"/>
      <w:szCs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465F07"/>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65F07"/>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4B203B"/>
    <w:rPr>
      <w:rFonts w:ascii="Arial" w:hAnsi="Arial"/>
      <w:color w:val="000000" w:themeColor="text1"/>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1861D7"/>
    <w:pPr>
      <w:widowControl w:val="0"/>
      <w:kinsoku w:val="0"/>
      <w:overflowPunct w:val="0"/>
      <w:autoSpaceDE w:val="0"/>
      <w:autoSpaceDN w:val="0"/>
      <w:adjustRightInd w:val="0"/>
      <w:spacing w:before="122" w:after="120"/>
      <w:ind w:right="-45"/>
    </w:pPr>
    <w:rPr>
      <w:rFonts w:eastAsiaTheme="minorEastAsia"/>
      <w:color w:val="auto"/>
      <w:sz w:val="20"/>
      <w:szCs w:val="20"/>
      <w:lang w:eastAsia="en-AU"/>
    </w:rPr>
  </w:style>
  <w:style w:type="character" w:customStyle="1" w:styleId="BodyTextChar">
    <w:name w:val="Body Text Char"/>
    <w:basedOn w:val="DefaultParagraphFont"/>
    <w:link w:val="BodyText"/>
    <w:uiPriority w:val="1"/>
    <w:rsid w:val="001861D7"/>
    <w:rPr>
      <w:rFonts w:ascii="Arial" w:eastAsiaTheme="minorEastAsia" w:hAnsi="Arial" w:cs="Arial"/>
      <w:sz w:val="20"/>
      <w:szCs w:val="20"/>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757247"/>
    <w:pPr>
      <w:tabs>
        <w:tab w:val="right" w:leader="dot" w:pos="9628"/>
      </w:tabs>
      <w:spacing w:after="100"/>
    </w:pPr>
  </w:style>
  <w:style w:type="paragraph" w:styleId="TOC3">
    <w:name w:val="toc 3"/>
    <w:basedOn w:val="Normal"/>
    <w:next w:val="Normal"/>
    <w:autoRedefine/>
    <w:uiPriority w:val="39"/>
    <w:unhideWhenUsed/>
    <w:rsid w:val="006A675A"/>
    <w:pPr>
      <w:tabs>
        <w:tab w:val="right" w:leader="dot" w:pos="9628"/>
      </w:tabs>
      <w:spacing w:after="100"/>
      <w:ind w:left="480"/>
    </w:pPr>
  </w:style>
  <w:style w:type="character" w:customStyle="1" w:styleId="TITLE1Char">
    <w:name w:val="TITLE1 Char"/>
    <w:basedOn w:val="DefaultParagraphFont"/>
    <w:link w:val="TITLE1"/>
    <w:locked/>
    <w:rsid w:val="00E71C39"/>
    <w:rPr>
      <w:rFonts w:ascii="Arial" w:eastAsia="Times New Roman" w:hAnsi="Arial" w:cs="Arial"/>
      <w:b/>
      <w:noProof/>
      <w:color w:val="0090A3"/>
      <w:sz w:val="80"/>
      <w:szCs w:val="80"/>
      <w:lang w:eastAsia="en-AU"/>
    </w:rPr>
  </w:style>
  <w:style w:type="paragraph" w:customStyle="1" w:styleId="TITLE1">
    <w:name w:val="TITLE1"/>
    <w:basedOn w:val="Normal"/>
    <w:link w:val="TITLE1Char"/>
    <w:qFormat/>
    <w:rsid w:val="00E71C39"/>
    <w:pPr>
      <w:tabs>
        <w:tab w:val="left" w:pos="-3060"/>
        <w:tab w:val="left" w:pos="-2340"/>
        <w:tab w:val="left" w:pos="6300"/>
      </w:tabs>
      <w:suppressAutoHyphens/>
      <w:spacing w:after="240" w:line="240" w:lineRule="auto"/>
      <w:outlineLvl w:val="0"/>
    </w:pPr>
    <w:rPr>
      <w:rFonts w:eastAsia="Times New Roman"/>
      <w:b/>
      <w:noProof/>
      <w:color w:val="0090A3"/>
      <w:sz w:val="80"/>
      <w:szCs w:val="80"/>
      <w:lang w:eastAsia="en-AU"/>
    </w:rPr>
  </w:style>
  <w:style w:type="character" w:customStyle="1" w:styleId="Title2Char">
    <w:name w:val="Title 2 Char"/>
    <w:basedOn w:val="DefaultParagraphFont"/>
    <w:link w:val="Title2"/>
    <w:locked/>
    <w:rsid w:val="00E71C39"/>
    <w:rPr>
      <w:rFonts w:ascii="Arial" w:eastAsia="Times New Roman" w:hAnsi="Arial" w:cs="Arial"/>
      <w:noProof/>
      <w:color w:val="000000" w:themeColor="text1"/>
      <w:sz w:val="40"/>
      <w:szCs w:val="40"/>
      <w:lang w:eastAsia="en-AU"/>
    </w:rPr>
  </w:style>
  <w:style w:type="paragraph" w:customStyle="1" w:styleId="Title2">
    <w:name w:val="Title 2"/>
    <w:basedOn w:val="Normal"/>
    <w:link w:val="Title2Char"/>
    <w:qFormat/>
    <w:rsid w:val="00E71C39"/>
    <w:pPr>
      <w:tabs>
        <w:tab w:val="left" w:pos="-3060"/>
        <w:tab w:val="left" w:pos="-2340"/>
        <w:tab w:val="left" w:pos="6300"/>
      </w:tabs>
      <w:suppressAutoHyphens/>
      <w:spacing w:after="120" w:line="240" w:lineRule="auto"/>
    </w:pPr>
    <w:rPr>
      <w:rFonts w:eastAsia="Times New Roman"/>
      <w:noProof/>
      <w:sz w:val="40"/>
      <w:szCs w:val="40"/>
      <w:lang w:eastAsia="en-AU"/>
    </w:rPr>
  </w:style>
  <w:style w:type="character" w:customStyle="1" w:styleId="NormalBulletsChar">
    <w:name w:val="Normal Bullets Char"/>
    <w:basedOn w:val="DefaultParagraphFont"/>
    <w:link w:val="NormalBullets"/>
    <w:locked/>
    <w:rsid w:val="00102E8F"/>
    <w:rPr>
      <w:rFonts w:ascii="Arial" w:eastAsia="Calibri" w:hAnsi="Arial" w:cs="Arial"/>
      <w:noProof/>
      <w:sz w:val="24"/>
    </w:rPr>
  </w:style>
  <w:style w:type="paragraph" w:customStyle="1" w:styleId="NormalBullets">
    <w:name w:val="Normal Bullets"/>
    <w:basedOn w:val="Normal"/>
    <w:link w:val="NormalBulletsChar"/>
    <w:qFormat/>
    <w:rsid w:val="00102E8F"/>
    <w:pPr>
      <w:numPr>
        <w:numId w:val="7"/>
      </w:numPr>
      <w:tabs>
        <w:tab w:val="right" w:pos="8931"/>
      </w:tabs>
      <w:spacing w:after="120" w:line="240" w:lineRule="auto"/>
    </w:pPr>
    <w:rPr>
      <w:rFonts w:eastAsia="Calibri"/>
      <w:noProof/>
      <w:color w:val="auto"/>
    </w:rPr>
  </w:style>
  <w:style w:type="paragraph" w:styleId="Caption">
    <w:name w:val="caption"/>
    <w:basedOn w:val="Normal"/>
    <w:next w:val="Normal"/>
    <w:uiPriority w:val="35"/>
    <w:unhideWhenUsed/>
    <w:qFormat/>
    <w:rsid w:val="00E71C39"/>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 w:type="paragraph" w:customStyle="1" w:styleId="TABLENORMAL0">
    <w:name w:val="TABLE NORMAL"/>
    <w:basedOn w:val="Normal"/>
    <w:qFormat/>
    <w:rsid w:val="008D31B1"/>
    <w:pPr>
      <w:tabs>
        <w:tab w:val="left" w:pos="-3060"/>
        <w:tab w:val="left" w:pos="-2340"/>
        <w:tab w:val="left" w:pos="6300"/>
      </w:tabs>
      <w:suppressAutoHyphens/>
      <w:spacing w:before="120" w:after="120" w:line="240" w:lineRule="auto"/>
      <w:ind w:left="113"/>
    </w:pPr>
    <w:rPr>
      <w:rFonts w:eastAsia="Times New Roman"/>
      <w:noProof/>
      <w:sz w:val="22"/>
      <w:lang w:eastAsia="en-AU"/>
    </w:rPr>
  </w:style>
  <w:style w:type="paragraph" w:styleId="EndnoteText">
    <w:name w:val="endnote text"/>
    <w:basedOn w:val="Normal"/>
    <w:link w:val="EndnoteTextChar"/>
    <w:uiPriority w:val="99"/>
    <w:unhideWhenUsed/>
    <w:rsid w:val="008D31B1"/>
    <w:pPr>
      <w:spacing w:before="120" w:after="0" w:line="276" w:lineRule="auto"/>
    </w:pPr>
    <w:rPr>
      <w:rFonts w:ascii="Gill Sans MT" w:hAnsi="Gill Sans MT" w:cstheme="minorBidi"/>
      <w:color w:val="auto"/>
      <w:sz w:val="20"/>
      <w:szCs w:val="20"/>
    </w:rPr>
  </w:style>
  <w:style w:type="character" w:customStyle="1" w:styleId="EndnoteTextChar">
    <w:name w:val="Endnote Text Char"/>
    <w:basedOn w:val="DefaultParagraphFont"/>
    <w:link w:val="EndnoteText"/>
    <w:uiPriority w:val="99"/>
    <w:rsid w:val="008D31B1"/>
    <w:rPr>
      <w:rFonts w:ascii="Gill Sans MT" w:hAnsi="Gill Sans MT"/>
      <w:sz w:val="20"/>
      <w:szCs w:val="20"/>
    </w:rPr>
  </w:style>
  <w:style w:type="character" w:styleId="EndnoteReference">
    <w:name w:val="endnote reference"/>
    <w:basedOn w:val="DefaultParagraphFont"/>
    <w:uiPriority w:val="99"/>
    <w:unhideWhenUsed/>
    <w:rsid w:val="008D31B1"/>
    <w:rPr>
      <w:vertAlign w:val="superscript"/>
    </w:rPr>
  </w:style>
  <w:style w:type="paragraph" w:customStyle="1" w:styleId="TableParagraph">
    <w:name w:val="Table Paragraph"/>
    <w:basedOn w:val="Normal"/>
    <w:uiPriority w:val="1"/>
    <w:qFormat/>
    <w:rsid w:val="008D31B1"/>
    <w:pPr>
      <w:widowControl w:val="0"/>
      <w:autoSpaceDE w:val="0"/>
      <w:autoSpaceDN w:val="0"/>
      <w:adjustRightInd w:val="0"/>
      <w:spacing w:after="0" w:line="240" w:lineRule="auto"/>
      <w:ind w:left="107"/>
    </w:pPr>
    <w:rPr>
      <w:rFonts w:eastAsiaTheme="minorEastAsia"/>
      <w:color w:val="auto"/>
      <w:szCs w:val="24"/>
      <w:lang w:eastAsia="en-AU"/>
    </w:rPr>
  </w:style>
  <w:style w:type="paragraph" w:styleId="TOC2">
    <w:name w:val="toc 2"/>
    <w:basedOn w:val="Normal"/>
    <w:next w:val="Normal"/>
    <w:autoRedefine/>
    <w:uiPriority w:val="39"/>
    <w:unhideWhenUsed/>
    <w:rsid w:val="0036147B"/>
    <w:pPr>
      <w:tabs>
        <w:tab w:val="right" w:leader="dot" w:pos="9628"/>
      </w:tabs>
      <w:spacing w:after="100"/>
      <w:ind w:left="240"/>
    </w:pPr>
  </w:style>
  <w:style w:type="character" w:styleId="UnresolvedMention">
    <w:name w:val="Unresolved Mention"/>
    <w:basedOn w:val="DefaultParagraphFont"/>
    <w:uiPriority w:val="99"/>
    <w:semiHidden/>
    <w:unhideWhenUsed/>
    <w:rsid w:val="0088603B"/>
    <w:rPr>
      <w:color w:val="605E5C"/>
      <w:shd w:val="clear" w:color="auto" w:fill="E1DFDD"/>
    </w:rPr>
  </w:style>
  <w:style w:type="character" w:styleId="FollowedHyperlink">
    <w:name w:val="FollowedHyperlink"/>
    <w:basedOn w:val="DefaultParagraphFont"/>
    <w:uiPriority w:val="99"/>
    <w:semiHidden/>
    <w:unhideWhenUsed/>
    <w:rsid w:val="00B25F5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7A22"/>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237A22"/>
    <w:rPr>
      <w:rFonts w:ascii="Arial" w:eastAsia="Times New Roman" w:hAnsi="Arial" w:cs="Arial"/>
      <w:b/>
      <w:bCs/>
      <w:noProof/>
      <w:color w:val="000000" w:themeColor="text1"/>
      <w:sz w:val="20"/>
      <w:szCs w:val="20"/>
      <w:lang w:eastAsia="en-AU"/>
    </w:rPr>
  </w:style>
  <w:style w:type="paragraph" w:styleId="Revision">
    <w:name w:val="Revision"/>
    <w:hidden/>
    <w:uiPriority w:val="99"/>
    <w:semiHidden/>
    <w:rsid w:val="00237A22"/>
    <w:pPr>
      <w:spacing w:after="0" w:line="240" w:lineRule="auto"/>
    </w:pPr>
    <w:rPr>
      <w:rFonts w:ascii="Arial" w:hAnsi="Arial" w:cs="Arial"/>
      <w:color w:val="000000" w:themeColor="text1"/>
      <w:sz w:val="24"/>
    </w:rPr>
  </w:style>
  <w:style w:type="character" w:styleId="Mention">
    <w:name w:val="Mention"/>
    <w:basedOn w:val="DefaultParagraphFont"/>
    <w:uiPriority w:val="99"/>
    <w:unhideWhenUsed/>
    <w:rsid w:val="003A4220"/>
    <w:rPr>
      <w:color w:val="2B579A"/>
      <w:shd w:val="clear" w:color="auto" w:fill="E1DFDD"/>
    </w:rPr>
  </w:style>
  <w:style w:type="paragraph" w:styleId="NormalWeb">
    <w:name w:val="Normal (Web)"/>
    <w:basedOn w:val="Normal"/>
    <w:uiPriority w:val="99"/>
    <w:unhideWhenUsed/>
    <w:rsid w:val="00916546"/>
    <w:pPr>
      <w:spacing w:before="100" w:beforeAutospacing="1" w:after="100" w:afterAutospacing="1" w:line="240" w:lineRule="auto"/>
    </w:pPr>
    <w:rPr>
      <w:rFonts w:ascii="Calibri" w:hAnsi="Calibri" w:cs="Calibri"/>
      <w:color w:val="auto"/>
      <w:sz w:val="22"/>
      <w:lang w:eastAsia="en-AU"/>
    </w:rPr>
  </w:style>
  <w:style w:type="character" w:customStyle="1" w:styleId="normaltextrun">
    <w:name w:val="normaltextrun"/>
    <w:basedOn w:val="DefaultParagraphFont"/>
    <w:rsid w:val="00F6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644">
      <w:bodyDiv w:val="1"/>
      <w:marLeft w:val="0"/>
      <w:marRight w:val="0"/>
      <w:marTop w:val="0"/>
      <w:marBottom w:val="0"/>
      <w:divBdr>
        <w:top w:val="none" w:sz="0" w:space="0" w:color="auto"/>
        <w:left w:val="none" w:sz="0" w:space="0" w:color="auto"/>
        <w:bottom w:val="none" w:sz="0" w:space="0" w:color="auto"/>
        <w:right w:val="none" w:sz="0" w:space="0" w:color="auto"/>
      </w:divBdr>
      <w:divsChild>
        <w:div w:id="1590116376">
          <w:marLeft w:val="0"/>
          <w:marRight w:val="0"/>
          <w:marTop w:val="0"/>
          <w:marBottom w:val="0"/>
          <w:divBdr>
            <w:top w:val="none" w:sz="0" w:space="0" w:color="auto"/>
            <w:left w:val="none" w:sz="0" w:space="0" w:color="auto"/>
            <w:bottom w:val="none" w:sz="0" w:space="0" w:color="auto"/>
            <w:right w:val="none" w:sz="0" w:space="0" w:color="auto"/>
          </w:divBdr>
        </w:div>
      </w:divsChild>
    </w:div>
    <w:div w:id="174852693">
      <w:bodyDiv w:val="1"/>
      <w:marLeft w:val="0"/>
      <w:marRight w:val="0"/>
      <w:marTop w:val="0"/>
      <w:marBottom w:val="0"/>
      <w:divBdr>
        <w:top w:val="none" w:sz="0" w:space="0" w:color="auto"/>
        <w:left w:val="none" w:sz="0" w:space="0" w:color="auto"/>
        <w:bottom w:val="none" w:sz="0" w:space="0" w:color="auto"/>
        <w:right w:val="none" w:sz="0" w:space="0" w:color="auto"/>
      </w:divBdr>
    </w:div>
    <w:div w:id="349912045">
      <w:bodyDiv w:val="1"/>
      <w:marLeft w:val="0"/>
      <w:marRight w:val="0"/>
      <w:marTop w:val="0"/>
      <w:marBottom w:val="0"/>
      <w:divBdr>
        <w:top w:val="none" w:sz="0" w:space="0" w:color="auto"/>
        <w:left w:val="none" w:sz="0" w:space="0" w:color="auto"/>
        <w:bottom w:val="none" w:sz="0" w:space="0" w:color="auto"/>
        <w:right w:val="none" w:sz="0" w:space="0" w:color="auto"/>
      </w:divBdr>
    </w:div>
    <w:div w:id="359596219">
      <w:bodyDiv w:val="1"/>
      <w:marLeft w:val="0"/>
      <w:marRight w:val="0"/>
      <w:marTop w:val="0"/>
      <w:marBottom w:val="0"/>
      <w:divBdr>
        <w:top w:val="none" w:sz="0" w:space="0" w:color="auto"/>
        <w:left w:val="none" w:sz="0" w:space="0" w:color="auto"/>
        <w:bottom w:val="none" w:sz="0" w:space="0" w:color="auto"/>
        <w:right w:val="none" w:sz="0" w:space="0" w:color="auto"/>
      </w:divBdr>
      <w:divsChild>
        <w:div w:id="1383627535">
          <w:marLeft w:val="0"/>
          <w:marRight w:val="0"/>
          <w:marTop w:val="0"/>
          <w:marBottom w:val="0"/>
          <w:divBdr>
            <w:top w:val="none" w:sz="0" w:space="0" w:color="auto"/>
            <w:left w:val="none" w:sz="0" w:space="0" w:color="auto"/>
            <w:bottom w:val="none" w:sz="0" w:space="0" w:color="auto"/>
            <w:right w:val="none" w:sz="0" w:space="0" w:color="auto"/>
          </w:divBdr>
        </w:div>
      </w:divsChild>
    </w:div>
    <w:div w:id="423455816">
      <w:bodyDiv w:val="1"/>
      <w:marLeft w:val="0"/>
      <w:marRight w:val="0"/>
      <w:marTop w:val="0"/>
      <w:marBottom w:val="0"/>
      <w:divBdr>
        <w:top w:val="none" w:sz="0" w:space="0" w:color="auto"/>
        <w:left w:val="none" w:sz="0" w:space="0" w:color="auto"/>
        <w:bottom w:val="none" w:sz="0" w:space="0" w:color="auto"/>
        <w:right w:val="none" w:sz="0" w:space="0" w:color="auto"/>
      </w:divBdr>
    </w:div>
    <w:div w:id="534006093">
      <w:bodyDiv w:val="1"/>
      <w:marLeft w:val="0"/>
      <w:marRight w:val="0"/>
      <w:marTop w:val="0"/>
      <w:marBottom w:val="0"/>
      <w:divBdr>
        <w:top w:val="none" w:sz="0" w:space="0" w:color="auto"/>
        <w:left w:val="none" w:sz="0" w:space="0" w:color="auto"/>
        <w:bottom w:val="none" w:sz="0" w:space="0" w:color="auto"/>
        <w:right w:val="none" w:sz="0" w:space="0" w:color="auto"/>
      </w:divBdr>
      <w:divsChild>
        <w:div w:id="1629822285">
          <w:marLeft w:val="0"/>
          <w:marRight w:val="0"/>
          <w:marTop w:val="0"/>
          <w:marBottom w:val="0"/>
          <w:divBdr>
            <w:top w:val="none" w:sz="0" w:space="0" w:color="auto"/>
            <w:left w:val="none" w:sz="0" w:space="0" w:color="auto"/>
            <w:bottom w:val="none" w:sz="0" w:space="0" w:color="auto"/>
            <w:right w:val="none" w:sz="0" w:space="0" w:color="auto"/>
          </w:divBdr>
        </w:div>
      </w:divsChild>
    </w:div>
    <w:div w:id="624584857">
      <w:bodyDiv w:val="1"/>
      <w:marLeft w:val="0"/>
      <w:marRight w:val="0"/>
      <w:marTop w:val="0"/>
      <w:marBottom w:val="0"/>
      <w:divBdr>
        <w:top w:val="none" w:sz="0" w:space="0" w:color="auto"/>
        <w:left w:val="none" w:sz="0" w:space="0" w:color="auto"/>
        <w:bottom w:val="none" w:sz="0" w:space="0" w:color="auto"/>
        <w:right w:val="none" w:sz="0" w:space="0" w:color="auto"/>
      </w:divBdr>
      <w:divsChild>
        <w:div w:id="1131249073">
          <w:marLeft w:val="0"/>
          <w:marRight w:val="0"/>
          <w:marTop w:val="0"/>
          <w:marBottom w:val="0"/>
          <w:divBdr>
            <w:top w:val="none" w:sz="0" w:space="0" w:color="auto"/>
            <w:left w:val="none" w:sz="0" w:space="0" w:color="auto"/>
            <w:bottom w:val="none" w:sz="0" w:space="0" w:color="auto"/>
            <w:right w:val="none" w:sz="0" w:space="0" w:color="auto"/>
          </w:divBdr>
        </w:div>
      </w:divsChild>
    </w:div>
    <w:div w:id="796265349">
      <w:bodyDiv w:val="1"/>
      <w:marLeft w:val="0"/>
      <w:marRight w:val="0"/>
      <w:marTop w:val="0"/>
      <w:marBottom w:val="0"/>
      <w:divBdr>
        <w:top w:val="none" w:sz="0" w:space="0" w:color="auto"/>
        <w:left w:val="none" w:sz="0" w:space="0" w:color="auto"/>
        <w:bottom w:val="none" w:sz="0" w:space="0" w:color="auto"/>
        <w:right w:val="none" w:sz="0" w:space="0" w:color="auto"/>
      </w:divBdr>
    </w:div>
    <w:div w:id="865479941">
      <w:bodyDiv w:val="1"/>
      <w:marLeft w:val="0"/>
      <w:marRight w:val="0"/>
      <w:marTop w:val="0"/>
      <w:marBottom w:val="0"/>
      <w:divBdr>
        <w:top w:val="none" w:sz="0" w:space="0" w:color="auto"/>
        <w:left w:val="none" w:sz="0" w:space="0" w:color="auto"/>
        <w:bottom w:val="none" w:sz="0" w:space="0" w:color="auto"/>
        <w:right w:val="none" w:sz="0" w:space="0" w:color="auto"/>
      </w:divBdr>
    </w:div>
    <w:div w:id="1139877072">
      <w:bodyDiv w:val="1"/>
      <w:marLeft w:val="0"/>
      <w:marRight w:val="0"/>
      <w:marTop w:val="0"/>
      <w:marBottom w:val="0"/>
      <w:divBdr>
        <w:top w:val="none" w:sz="0" w:space="0" w:color="auto"/>
        <w:left w:val="none" w:sz="0" w:space="0" w:color="auto"/>
        <w:bottom w:val="none" w:sz="0" w:space="0" w:color="auto"/>
        <w:right w:val="none" w:sz="0" w:space="0" w:color="auto"/>
      </w:divBdr>
      <w:divsChild>
        <w:div w:id="981009203">
          <w:marLeft w:val="0"/>
          <w:marRight w:val="0"/>
          <w:marTop w:val="0"/>
          <w:marBottom w:val="0"/>
          <w:divBdr>
            <w:top w:val="none" w:sz="0" w:space="0" w:color="auto"/>
            <w:left w:val="none" w:sz="0" w:space="0" w:color="auto"/>
            <w:bottom w:val="none" w:sz="0" w:space="0" w:color="auto"/>
            <w:right w:val="none" w:sz="0" w:space="0" w:color="auto"/>
          </w:divBdr>
        </w:div>
      </w:divsChild>
    </w:div>
    <w:div w:id="1142193540">
      <w:bodyDiv w:val="1"/>
      <w:marLeft w:val="0"/>
      <w:marRight w:val="0"/>
      <w:marTop w:val="0"/>
      <w:marBottom w:val="0"/>
      <w:divBdr>
        <w:top w:val="none" w:sz="0" w:space="0" w:color="auto"/>
        <w:left w:val="none" w:sz="0" w:space="0" w:color="auto"/>
        <w:bottom w:val="none" w:sz="0" w:space="0" w:color="auto"/>
        <w:right w:val="none" w:sz="0" w:space="0" w:color="auto"/>
      </w:divBdr>
    </w:div>
    <w:div w:id="1147894872">
      <w:bodyDiv w:val="1"/>
      <w:marLeft w:val="0"/>
      <w:marRight w:val="0"/>
      <w:marTop w:val="0"/>
      <w:marBottom w:val="0"/>
      <w:divBdr>
        <w:top w:val="none" w:sz="0" w:space="0" w:color="auto"/>
        <w:left w:val="none" w:sz="0" w:space="0" w:color="auto"/>
        <w:bottom w:val="none" w:sz="0" w:space="0" w:color="auto"/>
        <w:right w:val="none" w:sz="0" w:space="0" w:color="auto"/>
      </w:divBdr>
    </w:div>
    <w:div w:id="1172259703">
      <w:bodyDiv w:val="1"/>
      <w:marLeft w:val="0"/>
      <w:marRight w:val="0"/>
      <w:marTop w:val="0"/>
      <w:marBottom w:val="0"/>
      <w:divBdr>
        <w:top w:val="none" w:sz="0" w:space="0" w:color="auto"/>
        <w:left w:val="none" w:sz="0" w:space="0" w:color="auto"/>
        <w:bottom w:val="none" w:sz="0" w:space="0" w:color="auto"/>
        <w:right w:val="none" w:sz="0" w:space="0" w:color="auto"/>
      </w:divBdr>
    </w:div>
    <w:div w:id="1205558127">
      <w:bodyDiv w:val="1"/>
      <w:marLeft w:val="0"/>
      <w:marRight w:val="0"/>
      <w:marTop w:val="0"/>
      <w:marBottom w:val="0"/>
      <w:divBdr>
        <w:top w:val="none" w:sz="0" w:space="0" w:color="auto"/>
        <w:left w:val="none" w:sz="0" w:space="0" w:color="auto"/>
        <w:bottom w:val="none" w:sz="0" w:space="0" w:color="auto"/>
        <w:right w:val="none" w:sz="0" w:space="0" w:color="auto"/>
      </w:divBdr>
      <w:divsChild>
        <w:div w:id="1459300530">
          <w:marLeft w:val="0"/>
          <w:marRight w:val="0"/>
          <w:marTop w:val="0"/>
          <w:marBottom w:val="0"/>
          <w:divBdr>
            <w:top w:val="none" w:sz="0" w:space="0" w:color="auto"/>
            <w:left w:val="none" w:sz="0" w:space="0" w:color="auto"/>
            <w:bottom w:val="none" w:sz="0" w:space="0" w:color="auto"/>
            <w:right w:val="none" w:sz="0" w:space="0" w:color="auto"/>
          </w:divBdr>
        </w:div>
      </w:divsChild>
    </w:div>
    <w:div w:id="1582716597">
      <w:bodyDiv w:val="1"/>
      <w:marLeft w:val="0"/>
      <w:marRight w:val="0"/>
      <w:marTop w:val="0"/>
      <w:marBottom w:val="0"/>
      <w:divBdr>
        <w:top w:val="none" w:sz="0" w:space="0" w:color="auto"/>
        <w:left w:val="none" w:sz="0" w:space="0" w:color="auto"/>
        <w:bottom w:val="none" w:sz="0" w:space="0" w:color="auto"/>
        <w:right w:val="none" w:sz="0" w:space="0" w:color="auto"/>
      </w:divBdr>
      <w:divsChild>
        <w:div w:id="30343424">
          <w:marLeft w:val="0"/>
          <w:marRight w:val="0"/>
          <w:marTop w:val="0"/>
          <w:marBottom w:val="0"/>
          <w:divBdr>
            <w:top w:val="none" w:sz="0" w:space="0" w:color="auto"/>
            <w:left w:val="none" w:sz="0" w:space="0" w:color="auto"/>
            <w:bottom w:val="none" w:sz="0" w:space="0" w:color="auto"/>
            <w:right w:val="none" w:sz="0" w:space="0" w:color="auto"/>
          </w:divBdr>
        </w:div>
      </w:divsChild>
    </w:div>
    <w:div w:id="1601141019">
      <w:bodyDiv w:val="1"/>
      <w:marLeft w:val="0"/>
      <w:marRight w:val="0"/>
      <w:marTop w:val="0"/>
      <w:marBottom w:val="0"/>
      <w:divBdr>
        <w:top w:val="none" w:sz="0" w:space="0" w:color="auto"/>
        <w:left w:val="none" w:sz="0" w:space="0" w:color="auto"/>
        <w:bottom w:val="none" w:sz="0" w:space="0" w:color="auto"/>
        <w:right w:val="none" w:sz="0" w:space="0" w:color="auto"/>
      </w:divBdr>
    </w:div>
    <w:div w:id="1671523874">
      <w:bodyDiv w:val="1"/>
      <w:marLeft w:val="0"/>
      <w:marRight w:val="0"/>
      <w:marTop w:val="0"/>
      <w:marBottom w:val="0"/>
      <w:divBdr>
        <w:top w:val="none" w:sz="0" w:space="0" w:color="auto"/>
        <w:left w:val="none" w:sz="0" w:space="0" w:color="auto"/>
        <w:bottom w:val="none" w:sz="0" w:space="0" w:color="auto"/>
        <w:right w:val="none" w:sz="0" w:space="0" w:color="auto"/>
      </w:divBdr>
    </w:div>
    <w:div w:id="1709449397">
      <w:bodyDiv w:val="1"/>
      <w:marLeft w:val="0"/>
      <w:marRight w:val="0"/>
      <w:marTop w:val="0"/>
      <w:marBottom w:val="0"/>
      <w:divBdr>
        <w:top w:val="none" w:sz="0" w:space="0" w:color="auto"/>
        <w:left w:val="none" w:sz="0" w:space="0" w:color="auto"/>
        <w:bottom w:val="none" w:sz="0" w:space="0" w:color="auto"/>
        <w:right w:val="none" w:sz="0" w:space="0" w:color="auto"/>
      </w:divBdr>
      <w:divsChild>
        <w:div w:id="1293750936">
          <w:marLeft w:val="0"/>
          <w:marRight w:val="0"/>
          <w:marTop w:val="0"/>
          <w:marBottom w:val="0"/>
          <w:divBdr>
            <w:top w:val="none" w:sz="0" w:space="0" w:color="auto"/>
            <w:left w:val="none" w:sz="0" w:space="0" w:color="auto"/>
            <w:bottom w:val="none" w:sz="0" w:space="0" w:color="auto"/>
            <w:right w:val="none" w:sz="0" w:space="0" w:color="auto"/>
          </w:divBdr>
        </w:div>
      </w:divsChild>
    </w:div>
    <w:div w:id="1717967880">
      <w:bodyDiv w:val="1"/>
      <w:marLeft w:val="0"/>
      <w:marRight w:val="0"/>
      <w:marTop w:val="0"/>
      <w:marBottom w:val="0"/>
      <w:divBdr>
        <w:top w:val="none" w:sz="0" w:space="0" w:color="auto"/>
        <w:left w:val="none" w:sz="0" w:space="0" w:color="auto"/>
        <w:bottom w:val="none" w:sz="0" w:space="0" w:color="auto"/>
        <w:right w:val="none" w:sz="0" w:space="0" w:color="auto"/>
      </w:divBdr>
      <w:divsChild>
        <w:div w:id="31618916">
          <w:marLeft w:val="0"/>
          <w:marRight w:val="0"/>
          <w:marTop w:val="0"/>
          <w:marBottom w:val="0"/>
          <w:divBdr>
            <w:top w:val="none" w:sz="0" w:space="0" w:color="auto"/>
            <w:left w:val="none" w:sz="0" w:space="0" w:color="auto"/>
            <w:bottom w:val="none" w:sz="0" w:space="0" w:color="auto"/>
            <w:right w:val="none" w:sz="0" w:space="0" w:color="auto"/>
          </w:divBdr>
        </w:div>
      </w:divsChild>
    </w:div>
    <w:div w:id="1763262679">
      <w:bodyDiv w:val="1"/>
      <w:marLeft w:val="0"/>
      <w:marRight w:val="0"/>
      <w:marTop w:val="0"/>
      <w:marBottom w:val="0"/>
      <w:divBdr>
        <w:top w:val="none" w:sz="0" w:space="0" w:color="auto"/>
        <w:left w:val="none" w:sz="0" w:space="0" w:color="auto"/>
        <w:bottom w:val="none" w:sz="0" w:space="0" w:color="auto"/>
        <w:right w:val="none" w:sz="0" w:space="0" w:color="auto"/>
      </w:divBdr>
    </w:div>
    <w:div w:id="2117822516">
      <w:bodyDiv w:val="1"/>
      <w:marLeft w:val="0"/>
      <w:marRight w:val="0"/>
      <w:marTop w:val="0"/>
      <w:marBottom w:val="0"/>
      <w:divBdr>
        <w:top w:val="none" w:sz="0" w:space="0" w:color="auto"/>
        <w:left w:val="none" w:sz="0" w:space="0" w:color="auto"/>
        <w:bottom w:val="none" w:sz="0" w:space="0" w:color="auto"/>
        <w:right w:val="none" w:sz="0" w:space="0" w:color="auto"/>
      </w:divBdr>
    </w:div>
    <w:div w:id="2133357375">
      <w:bodyDiv w:val="1"/>
      <w:marLeft w:val="0"/>
      <w:marRight w:val="0"/>
      <w:marTop w:val="0"/>
      <w:marBottom w:val="0"/>
      <w:divBdr>
        <w:top w:val="none" w:sz="0" w:space="0" w:color="auto"/>
        <w:left w:val="none" w:sz="0" w:space="0" w:color="auto"/>
        <w:bottom w:val="none" w:sz="0" w:space="0" w:color="auto"/>
        <w:right w:val="none" w:sz="0" w:space="0" w:color="auto"/>
      </w:divBdr>
      <w:divsChild>
        <w:div w:id="179845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phillip.infocouncil.biz/Open/2026/06/ORD_03062026_AGN_AT_WEB.htm" TargetMode="External"/><Relationship Id="rId18" Type="http://schemas.openxmlformats.org/officeDocument/2006/relationships/hyperlink" Target="https://www.bunuronglc.org/" TargetMode="External"/><Relationship Id="rId26" Type="http://schemas.openxmlformats.org/officeDocument/2006/relationships/hyperlink" Target="https://www.portphillip.vic.gov.au/people-and-community/community-sector-resources" TargetMode="External"/><Relationship Id="rId39" Type="http://schemas.openxmlformats.org/officeDocument/2006/relationships/hyperlink" Target="https://portphillip.smartygrants.com.au/" TargetMode="External"/><Relationship Id="rId3" Type="http://schemas.openxmlformats.org/officeDocument/2006/relationships/customXml" Target="../customXml/item3.xml"/><Relationship Id="rId21" Type="http://schemas.openxmlformats.org/officeDocument/2006/relationships/hyperlink" Target="https://creative.vic.gov.au/resources/the-arts-ripple-effect" TargetMode="External"/><Relationship Id="rId34" Type="http://schemas.openxmlformats.org/officeDocument/2006/relationships/hyperlink" Target="mailto:grants@portphillip.vic.gov.au" TargetMode="External"/><Relationship Id="rId42" Type="http://schemas.openxmlformats.org/officeDocument/2006/relationships/hyperlink" Target="https://www.portphillip.vic.gov.au/people-and-community/funds-grants-and-subsidies/cultural-development-fund-festivals-and-event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ortphillip.vic.gov.au/about-the-council/council-plan-and-budget/" TargetMode="External"/><Relationship Id="rId17" Type="http://schemas.openxmlformats.org/officeDocument/2006/relationships/hyperlink" Target="https://www.portphillip.vic.gov.au/council-services/events-venues-and-performers/outdoor-event-and-market-permits/" TargetMode="External"/><Relationship Id="rId25" Type="http://schemas.openxmlformats.org/officeDocument/2006/relationships/hyperlink" Target="http://www.portphillip.vic.gov.au/funds_grants.htm" TargetMode="External"/><Relationship Id="rId33" Type="http://schemas.openxmlformats.org/officeDocument/2006/relationships/hyperlink" Target="mailto:enviro@portphillip.vic.gov.au" TargetMode="External"/><Relationship Id="rId38" Type="http://schemas.openxmlformats.org/officeDocument/2006/relationships/hyperlink" Target="https://www.portphillip.vic.gov.au/people-and-community/community-sector-resources" TargetMode="External"/><Relationship Id="rId46" Type="http://schemas.openxmlformats.org/officeDocument/2006/relationships/hyperlink" Target="https://portphillip.smartygrants.com.au/" TargetMode="External"/><Relationship Id="rId2" Type="http://schemas.openxmlformats.org/officeDocument/2006/relationships/customXml" Target="../customXml/item2.xml"/><Relationship Id="rId16" Type="http://schemas.openxmlformats.org/officeDocument/2006/relationships/hyperlink" Target="https://www.portphillip.vic.gov.au/about-the-council/council-plan-and-budget/" TargetMode="External"/><Relationship Id="rId20" Type="http://schemas.openxmlformats.org/officeDocument/2006/relationships/hyperlink" Target="file:///C:/Users/dlindenp/AppData/Local/Microsoft/Windows/INetCache/Content.Outlook/V1IJ8F2Q/Wurundjeri%20Woi%20Wurrung%20Cultural%20Heritage%20Aboriginal%20Corporation" TargetMode="External"/><Relationship Id="rId29" Type="http://schemas.openxmlformats.org/officeDocument/2006/relationships/hyperlink" Target="https://www.portphillip.vic.gov.au/people-and-community/funds-grants-and-subsidies/cultural-development-fund-festivals-and-events/" TargetMode="External"/><Relationship Id="rId41" Type="http://schemas.openxmlformats.org/officeDocument/2006/relationships/hyperlink" Target="https://portphillip.smartygrants.com.au/applicant/login?returnU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rtphillip.vic.gov.au/contact-us" TargetMode="External"/><Relationship Id="rId32" Type="http://schemas.openxmlformats.org/officeDocument/2006/relationships/hyperlink" Target="https://www.portphillip.vic.gov.au/media/uytl3gwp/copp_act-and-adapt-strategy-2023-28_fa_online.pdf" TargetMode="External"/><Relationship Id="rId37" Type="http://schemas.openxmlformats.org/officeDocument/2006/relationships/hyperlink" Target="https://www.portphillip.vic.gov.au/about-the-council/council-plan-and-budget/" TargetMode="External"/><Relationship Id="rId40" Type="http://schemas.openxmlformats.org/officeDocument/2006/relationships/hyperlink" Target="https://portphillip.smartygrants.com.au/applicant/login?returnUrl=/" TargetMode="External"/><Relationship Id="rId45"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www.legislation.gov.au/Details/C2013C00040" TargetMode="External"/><Relationship Id="rId23" Type="http://schemas.openxmlformats.org/officeDocument/2006/relationships/hyperlink" Target="https://applicanthelp.smartygrants.com.au/applicant-faq's/" TargetMode="External"/><Relationship Id="rId28" Type="http://schemas.openxmlformats.org/officeDocument/2006/relationships/hyperlink" Target="mailto:grants@portphillip.vic.gov.au" TargetMode="External"/><Relationship Id="rId36" Type="http://schemas.openxmlformats.org/officeDocument/2006/relationships/hyperlink" Target="https://www.portphillip.vic.gov.au/people-and-community/funds-grants-and-subsidies/cultural-development-fund-festivals-and-events"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lsc.org.au/" TargetMode="External"/><Relationship Id="rId31" Type="http://schemas.openxmlformats.org/officeDocument/2006/relationships/hyperlink" Target="https://www.vic.gov.au/victorian-government-values-statement" TargetMode="External"/><Relationship Id="rId44" Type="http://schemas.openxmlformats.org/officeDocument/2006/relationships/hyperlink" Target="https://www.portphillip.vic.gov.au/explore-the-city/travelling-around/using-port-phillip-map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tphillip.vic.gov.au/media/z34jcz2x/copp_events-strategy-2023-26_update-2024_.pdf" TargetMode="External"/><Relationship Id="rId22" Type="http://schemas.openxmlformats.org/officeDocument/2006/relationships/hyperlink" Target="https://login.smartygrants.com.au/realms/sg/protocol/openid-connect/auth?scope=openid&amp;state=0gykJ_lCLwOf9OkpN8VGAm33Lg5n7CVVLnYKcqLwEGE.5IqEYa6MRjA.cM3KrCpsT1uJ6Dn9UjlHCg&amp;response_type=code&amp;client_id=sg_broker&amp;redirect_uri=https%3A%2F%2Flogin.smartyfile.com.au%2Frealms%2Foc%2Fbroker%2Fsg_idp%2Fendpoint&amp;redirect_source=https%3A%2F%2Fportphillip.smartygrants.com.au%2Fsso%2Flogi&amp;nonce=ZVO7MgaeJFnmPJR3sqA4wQ%22&#64991;HYPERLINK%20%22https://applicanthelp.smartygrants.com.au/help-guide-for-applicants/" TargetMode="External"/><Relationship Id="rId27" Type="http://schemas.openxmlformats.org/officeDocument/2006/relationships/hyperlink" Target="mailto:grants@portphillip.vic.gov.au" TargetMode="External"/><Relationship Id="rId30" Type="http://schemas.openxmlformats.org/officeDocument/2006/relationships/hyperlink" Target="https://www.portphillip.vic.gov.au/about-the-council/strategies-policies-and-plans/child-safe-standards" TargetMode="External"/><Relationship Id="rId35" Type="http://schemas.openxmlformats.org/officeDocument/2006/relationships/hyperlink" Target="https://www.portphillip.vic.gov.au/people-and-community/funds-grants-and-subsidies/cultural-development-fund-festivals-and-events" TargetMode="External"/><Relationship Id="rId43" Type="http://schemas.openxmlformats.org/officeDocument/2006/relationships/hyperlink" Target="mailto:grants@portphillip.vic.gov.au"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ortphillip.vic.gov.au/explore-the-city/travelling-around/using-port-phillip-maps" TargetMode="External"/><Relationship Id="rId3" Type="http://schemas.openxmlformats.org/officeDocument/2006/relationships/hyperlink" Target="https://www.portphillip.vic.gov.au/people-and-community/funds-grants-and-subsidies/cultural-development-fund-festivals-and-events" TargetMode="External"/><Relationship Id="rId7" Type="http://schemas.openxmlformats.org/officeDocument/2006/relationships/hyperlink" Target="https://portphillip.smartygrants.com.au/applicant/login" TargetMode="External"/><Relationship Id="rId2" Type="http://schemas.openxmlformats.org/officeDocument/2006/relationships/hyperlink" Target="https://www.portphillip.vic.gov.au/media/3m2fxcxh/accessibility-and-disability-inclusion-fact-sheet-for-grant-applicants-2021.pdf" TargetMode="External"/><Relationship Id="rId1" Type="http://schemas.openxmlformats.org/officeDocument/2006/relationships/hyperlink" Target="https://www.portphillip.vic.gov.au/people-and-community/community-sector-resources" TargetMode="External"/><Relationship Id="rId6" Type="http://schemas.openxmlformats.org/officeDocument/2006/relationships/hyperlink" Target="https://portphillip.smartygrants.com.au" TargetMode="External"/><Relationship Id="rId5" Type="http://schemas.openxmlformats.org/officeDocument/2006/relationships/hyperlink" Target="https://www.portphillip.vic.gov.au/people-and-community/funds-grants-and-subsidies/community-grants-program" TargetMode="External"/><Relationship Id="rId4" Type="http://schemas.openxmlformats.org/officeDocument/2006/relationships/hyperlink" Target="https://www.portphillip.vic.gov.au/about-the-council/council-plan-and-budg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0CD032F91604F80C19867C0CB9136" ma:contentTypeVersion="15" ma:contentTypeDescription="Create a new document." ma:contentTypeScope="" ma:versionID="c3237d266b08f11dd73983c6a46e0bf3">
  <xsd:schema xmlns:xsd="http://www.w3.org/2001/XMLSchema" xmlns:xs="http://www.w3.org/2001/XMLSchema" xmlns:p="http://schemas.microsoft.com/office/2006/metadata/properties" xmlns:ns2="d9b2954f-50c9-4489-a6b1-9001d09028a2" xmlns:ns3="f0c06493-b467-4ee8-a33d-a7ff4883dbc9" targetNamespace="http://schemas.microsoft.com/office/2006/metadata/properties" ma:root="true" ma:fieldsID="8b5a81e2915c96d19bc76e8ac372255d" ns2:_="" ns3:_="">
    <xsd:import namespace="d9b2954f-50c9-4489-a6b1-9001d09028a2"/>
    <xsd:import namespace="f0c06493-b467-4ee8-a33d-a7ff4883dbc9"/>
    <xsd:element name="properties">
      <xsd:complexType>
        <xsd:sequence>
          <xsd:element name="documentManagement">
            <xsd:complexType>
              <xsd:all>
                <xsd:element ref="ns2:QuickAddProfile"/>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954f-50c9-4489-a6b1-9001d09028a2" elementFormDefault="qualified">
    <xsd:import namespace="http://schemas.microsoft.com/office/2006/documentManagement/types"/>
    <xsd:import namespace="http://schemas.microsoft.com/office/infopath/2007/PartnerControls"/>
    <xsd:element name="QuickAddProfile" ma:index="8" ma:displayName="Quick Add Profile" ma:description="List related ECM QAP in this column" ma:format="Dropdown" ma:internalName="QuickAddProfil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06493-b467-4ee8-a33d-a7ff4883db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0de858-cb12-4214-b7e0-9d16fcfd6adf}" ma:internalName="TaxCatchAll" ma:showField="CatchAllData" ma:web="f0c06493-b467-4ee8-a33d-a7ff4883d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954f-50c9-4489-a6b1-9001d09028a2">
      <Terms xmlns="http://schemas.microsoft.com/office/infopath/2007/PartnerControls"/>
    </lcf76f155ced4ddcb4097134ff3c332f>
    <TaxCatchAll xmlns="f0c06493-b467-4ee8-a33d-a7ff4883dbc9" xsi:nil="true"/>
    <SharedWithUsers xmlns="f0c06493-b467-4ee8-a33d-a7ff4883dbc9">
      <UserInfo>
        <DisplayName>Kathryn Henry</DisplayName>
        <AccountId>65</AccountId>
        <AccountType/>
      </UserInfo>
      <UserInfo>
        <DisplayName>Melissa Findlay</DisplayName>
        <AccountId>66</AccountId>
        <AccountType/>
      </UserInfo>
      <UserInfo>
        <DisplayName>Gavin Murphy</DisplayName>
        <AccountId>656</AccountId>
        <AccountType/>
      </UserInfo>
      <UserInfo>
        <DisplayName>Ewa Zysk</DisplayName>
        <AccountId>25</AccountId>
        <AccountType/>
      </UserInfo>
      <UserInfo>
        <DisplayName>Teneille Summers</DisplayName>
        <AccountId>1123</AccountId>
        <AccountType/>
      </UserInfo>
      <UserInfo>
        <DisplayName>Alexander Albrecht</DisplayName>
        <AccountId>1125</AccountId>
        <AccountType/>
      </UserInfo>
      <UserInfo>
        <DisplayName>Laura Pohlenz</DisplayName>
        <AccountId>995</AccountId>
        <AccountType/>
      </UserInfo>
    </SharedWithUsers>
    <QuickAddProfile xmlns="d9b2954f-50c9-4489-a6b1-9001d09028a2">QAP</QuickAddProfi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0AA5-18F5-4F4D-81B3-4CC3CB9730C3}">
  <ds:schemaRefs>
    <ds:schemaRef ds:uri="http://schemas.microsoft.com/sharepoint/v3/contenttype/forms"/>
  </ds:schemaRefs>
</ds:datastoreItem>
</file>

<file path=customXml/itemProps2.xml><?xml version="1.0" encoding="utf-8"?>
<ds:datastoreItem xmlns:ds="http://schemas.openxmlformats.org/officeDocument/2006/customXml" ds:itemID="{288C4101-3449-44A1-B0CC-9A8CCD4C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954f-50c9-4489-a6b1-9001d09028a2"/>
    <ds:schemaRef ds:uri="f0c06493-b467-4ee8-a33d-a7ff4883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F12E9-7756-4F0B-8354-6BE3647ED2B2}">
  <ds:schemaRefs>
    <ds:schemaRef ds:uri="http://schemas.microsoft.com/office/2006/metadata/properties"/>
    <ds:schemaRef ds:uri="http://schemas.microsoft.com/office/infopath/2007/PartnerControls"/>
    <ds:schemaRef ds:uri="d9b2954f-50c9-4489-a6b1-9001d09028a2"/>
    <ds:schemaRef ds:uri="f0c06493-b467-4ee8-a33d-a7ff4883dbc9"/>
  </ds:schemaRefs>
</ds:datastoreItem>
</file>

<file path=customXml/itemProps4.xml><?xml version="1.0" encoding="utf-8"?>
<ds:datastoreItem xmlns:ds="http://schemas.openxmlformats.org/officeDocument/2006/customXml" ds:itemID="{AACDF0C6-2888-4DDE-B71B-5B4376D1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copp_word_template-external (2)</Template>
  <TotalTime>0</TotalTime>
  <Pages>22</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39999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2026-07-21T01:08:00Z</dcterms:created>
  <dcterms:modified xsi:type="dcterms:W3CDTF">2026-07-21T01:09:00Z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0x0101008BE0CD032F91604F80C19867C0CB9136</vt:lpwstr>
  </property>
  <property fmtid="{D5CDD505-2E9C-101B-9397-08002B2CF9AE}" pid="3" name="MediaServiceImageTags">
    <vt:lpwstr/>
  </property>
  <property fmtid="{D5CDD505-2E9C-101B-9397-08002B2CF9AE}" pid="4" name="GrammarlyDocumentId">
    <vt:lpwstr>18a726252b313ea6f4256e400d98551e9f9db0653bed5f0b390a6c3faae3d1e8</vt:lpwstr>
  </property>
</Properties>
</file>