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E2FCD" w14:textId="77777777" w:rsidR="00793E81" w:rsidRPr="00793E81" w:rsidRDefault="00793E81" w:rsidP="00793E81">
      <w:pPr>
        <w:pStyle w:val="Title20"/>
        <w:rPr>
          <w:b/>
          <w:color w:val="FFFFFF" w:themeColor="background1"/>
        </w:rPr>
      </w:pPr>
      <w:bookmarkStart w:id="0" w:name="_Hlk533152868"/>
      <w:bookmarkEnd w:id="0"/>
    </w:p>
    <w:p w14:paraId="6F4CA802" w14:textId="77777777" w:rsidR="00793E81" w:rsidRPr="00793E81" w:rsidRDefault="00C773E5" w:rsidP="00C773E5">
      <w:pPr>
        <w:pStyle w:val="Title20"/>
        <w:tabs>
          <w:tab w:val="clear" w:pos="6300"/>
          <w:tab w:val="left" w:pos="3480"/>
        </w:tabs>
        <w:rPr>
          <w:b/>
          <w:color w:val="FFFFFF" w:themeColor="background1"/>
        </w:rPr>
      </w:pPr>
      <w:r>
        <w:rPr>
          <w:b/>
          <w:color w:val="FFFFFF" w:themeColor="background1"/>
        </w:rPr>
        <w:tab/>
      </w:r>
    </w:p>
    <w:p w14:paraId="6AD63B14" w14:textId="77777777" w:rsidR="00043D33" w:rsidRDefault="004443A9" w:rsidP="00043D33">
      <w:pPr>
        <w:pStyle w:val="Title20"/>
        <w:spacing w:before="480"/>
      </w:pPr>
      <w:r w:rsidRPr="00AE6C9A">
        <w:rPr>
          <w:b/>
          <w:color w:val="FFFFFF" w:themeColor="background1"/>
          <w:sz w:val="70"/>
          <w:szCs w:val="70"/>
        </w:rPr>
        <w:t>Town Hall Hi</w:t>
      </w:r>
      <w:r w:rsidR="00F02038">
        <w:rPr>
          <w:b/>
          <w:color w:val="FFFFFF" w:themeColor="background1"/>
          <w:sz w:val="70"/>
          <w:szCs w:val="70"/>
        </w:rPr>
        <w:t>re Subsidy Scheme Guidelines 2020</w:t>
      </w:r>
      <w:r w:rsidRPr="00AE6C9A">
        <w:rPr>
          <w:b/>
          <w:color w:val="FFFFFF" w:themeColor="background1"/>
          <w:sz w:val="70"/>
          <w:szCs w:val="70"/>
        </w:rPr>
        <w:t>/2</w:t>
      </w:r>
      <w:r w:rsidR="00F02038">
        <w:rPr>
          <w:b/>
          <w:color w:val="FFFFFF" w:themeColor="background1"/>
          <w:sz w:val="70"/>
          <w:szCs w:val="70"/>
        </w:rPr>
        <w:t>1</w:t>
      </w:r>
      <w:bookmarkStart w:id="1" w:name="_Toc32474489"/>
      <w:r w:rsidR="008553EF">
        <w:br w:type="page"/>
      </w:r>
      <w:bookmarkStart w:id="2" w:name="_Toc530744165"/>
      <w:bookmarkStart w:id="3" w:name="_Toc530989662"/>
      <w:bookmarkStart w:id="4" w:name="_Toc529960625"/>
      <w:r w:rsidR="00043D33">
        <w:lastRenderedPageBreak/>
        <w:drawing>
          <wp:inline distT="0" distB="0" distL="0" distR="0" wp14:anchorId="37CAA345" wp14:editId="73E651E0">
            <wp:extent cx="3340735" cy="5895975"/>
            <wp:effectExtent l="0" t="0" r="0" b="9525"/>
            <wp:docPr id="11" name="Picture 11" descr="If you require a large print version contact ASSIST on 039209 6777.&#10;Langauage assistance details. National Relay services, a phone solution for people who are deaf or have hearing speech impairment. If you are deaf or hearing or speech impairment, you can contact us through the National Relay Service. TTY users dial 133677, then ask for 03 9209 6777" title="Picture of City of Port Phillip Accessibility strage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 contact details.jpg"/>
                    <pic:cNvPicPr/>
                  </pic:nvPicPr>
                  <pic:blipFill>
                    <a:blip r:embed="rId8"/>
                    <a:stretch>
                      <a:fillRect/>
                    </a:stretch>
                  </pic:blipFill>
                  <pic:spPr>
                    <a:xfrm>
                      <a:off x="0" y="0"/>
                      <a:ext cx="3340735" cy="5895975"/>
                    </a:xfrm>
                    <a:prstGeom prst="rect">
                      <a:avLst/>
                    </a:prstGeom>
                  </pic:spPr>
                </pic:pic>
              </a:graphicData>
            </a:graphic>
          </wp:inline>
        </w:drawing>
      </w:r>
      <w:bookmarkEnd w:id="2"/>
      <w:bookmarkEnd w:id="3"/>
    </w:p>
    <w:p w14:paraId="37A54CE7" w14:textId="77777777" w:rsidR="00043D33" w:rsidRDefault="00043D33">
      <w:pPr>
        <w:tabs>
          <w:tab w:val="clear" w:pos="-3060"/>
          <w:tab w:val="clear" w:pos="-2340"/>
          <w:tab w:val="clear" w:pos="6300"/>
        </w:tabs>
        <w:suppressAutoHyphens w:val="0"/>
        <w:spacing w:after="160" w:line="259" w:lineRule="auto"/>
        <w:rPr>
          <w:sz w:val="40"/>
          <w:szCs w:val="40"/>
        </w:rPr>
      </w:pPr>
      <w:r>
        <w:br w:type="page"/>
      </w:r>
    </w:p>
    <w:p w14:paraId="5B83FD47" w14:textId="77777777" w:rsidR="00F65372" w:rsidRPr="0032672F" w:rsidRDefault="003F2A71" w:rsidP="00043D33">
      <w:pPr>
        <w:pStyle w:val="Title20"/>
        <w:spacing w:before="480"/>
      </w:pPr>
      <w:r>
        <w:lastRenderedPageBreak/>
        <w:t xml:space="preserve">Town Hall </w:t>
      </w:r>
      <w:r w:rsidR="00C82065">
        <w:t xml:space="preserve">Hire </w:t>
      </w:r>
      <w:r>
        <w:t xml:space="preserve">Subsidy Scheme </w:t>
      </w:r>
      <w:r w:rsidR="00DF4CFB" w:rsidRPr="00511A7F">
        <w:t>20</w:t>
      </w:r>
      <w:r w:rsidR="00F02038">
        <w:t>20</w:t>
      </w:r>
      <w:r w:rsidR="001539CB" w:rsidRPr="00511A7F">
        <w:t>/</w:t>
      </w:r>
      <w:r w:rsidR="00793E81" w:rsidRPr="00511A7F">
        <w:t>20</w:t>
      </w:r>
      <w:r w:rsidR="00DF4CFB" w:rsidRPr="00511A7F">
        <w:t>2</w:t>
      </w:r>
      <w:bookmarkEnd w:id="4"/>
      <w:r w:rsidR="00F02038">
        <w:t>1</w:t>
      </w:r>
      <w:bookmarkEnd w:id="1"/>
    </w:p>
    <w:p w14:paraId="719871F2" w14:textId="77777777" w:rsidR="00793E81" w:rsidRDefault="00793E81" w:rsidP="00702AA3">
      <w:pPr>
        <w:pStyle w:val="Heading2"/>
      </w:pPr>
      <w:bookmarkStart w:id="5" w:name="_Toc530489411"/>
      <w:bookmarkStart w:id="6" w:name="_Toc530744167"/>
      <w:bookmarkStart w:id="7" w:name="_Toc530989664"/>
      <w:bookmarkStart w:id="8" w:name="_Toc535314281"/>
      <w:bookmarkStart w:id="9" w:name="_Toc536189370"/>
      <w:bookmarkStart w:id="10" w:name="_Toc32474490"/>
      <w:bookmarkStart w:id="11" w:name="_Hlk32473305"/>
      <w:r w:rsidRPr="00702AA3">
        <w:t>Introduction</w:t>
      </w:r>
      <w:bookmarkEnd w:id="5"/>
      <w:bookmarkEnd w:id="6"/>
      <w:bookmarkEnd w:id="7"/>
      <w:bookmarkEnd w:id="8"/>
      <w:bookmarkEnd w:id="9"/>
      <w:bookmarkEnd w:id="10"/>
      <w:r w:rsidRPr="00702AA3">
        <w:t xml:space="preserve"> </w:t>
      </w:r>
    </w:p>
    <w:p w14:paraId="00583300" w14:textId="77777777" w:rsidR="00682189" w:rsidRDefault="00682189" w:rsidP="0097072C">
      <w:r w:rsidRPr="00682189">
        <w:t>The City of Port Phillip recognises that its Community Grants Program, Subsidy Schemes and Donations provide a strategic opportunity to work in partnership with community groups, organisations and individuals to strengthen community capacity and create and promote a beautiful, liveable, caring, inviting, bold and real City of Port Philip.</w:t>
      </w:r>
    </w:p>
    <w:p w14:paraId="52A931A2" w14:textId="0F264880" w:rsidR="0097072C" w:rsidRDefault="0097072C" w:rsidP="0097072C">
      <w:r>
        <w:t xml:space="preserve">The Town Hall </w:t>
      </w:r>
      <w:r w:rsidR="00C82065">
        <w:t xml:space="preserve">Hire </w:t>
      </w:r>
      <w:r>
        <w:t xml:space="preserve">Subsidy Scheme is an important part of the Council’s Grants Program. Eligible groups and organisations can apply for a subsidy to support with accessing the use of </w:t>
      </w:r>
      <w:r w:rsidR="00FD0638">
        <w:t xml:space="preserve">the St Kilda and </w:t>
      </w:r>
      <w:r w:rsidR="001637AB">
        <w:t>South Melbour</w:t>
      </w:r>
      <w:r w:rsidR="00E4259B">
        <w:t>ne Town Hall Auditoriums with</w:t>
      </w:r>
      <w:r w:rsidR="001637AB">
        <w:t>in</w:t>
      </w:r>
      <w:r>
        <w:t xml:space="preserve"> Port Phillip.</w:t>
      </w:r>
      <w:bookmarkStart w:id="12" w:name="_Toc530989665"/>
    </w:p>
    <w:p w14:paraId="3FE1FB41" w14:textId="77777777" w:rsidR="0097072C" w:rsidRDefault="00054541" w:rsidP="0097072C">
      <w:pPr>
        <w:pStyle w:val="Heading2"/>
      </w:pPr>
      <w:bookmarkStart w:id="13" w:name="_Toc536189371"/>
      <w:bookmarkStart w:id="14" w:name="_Toc32474491"/>
      <w:bookmarkEnd w:id="12"/>
      <w:r>
        <w:t>Goals</w:t>
      </w:r>
      <w:bookmarkEnd w:id="13"/>
      <w:bookmarkEnd w:id="14"/>
    </w:p>
    <w:p w14:paraId="5B70C7F3" w14:textId="5F675030" w:rsidR="0097072C" w:rsidRDefault="0097072C" w:rsidP="0097072C">
      <w:r>
        <w:t xml:space="preserve">The aim of the Town Hall Hire Subsidy Scheme is to provide </w:t>
      </w:r>
      <w:r w:rsidR="005048D6">
        <w:t>registered</w:t>
      </w:r>
      <w:r w:rsidR="009578C5">
        <w:t xml:space="preserve"> </w:t>
      </w:r>
      <w:r w:rsidR="00C82065">
        <w:t>not-for-</w:t>
      </w:r>
      <w:r w:rsidR="001637AB">
        <w:t xml:space="preserve">profit </w:t>
      </w:r>
      <w:r>
        <w:t>community organisations with affordable and accessible spaces within the Town Halls for the benefit of the Port Phillip Community.</w:t>
      </w:r>
      <w:r w:rsidR="00F67026">
        <w:t xml:space="preserve">  Please refer to </w:t>
      </w:r>
      <w:hyperlink w:anchor="_Appendix_A_-" w:history="1">
        <w:r w:rsidR="00F67026" w:rsidRPr="00F67026">
          <w:rPr>
            <w:rStyle w:val="Hyperlink"/>
          </w:rPr>
          <w:t>Appendix A</w:t>
        </w:r>
      </w:hyperlink>
      <w:r w:rsidR="00F67026">
        <w:t xml:space="preserve"> for map of Port Phillip municipality.</w:t>
      </w:r>
    </w:p>
    <w:p w14:paraId="10B39F3B" w14:textId="77777777" w:rsidR="0097072C" w:rsidRPr="0097072C" w:rsidRDefault="00EE2C90" w:rsidP="0097072C">
      <w:pPr>
        <w:pStyle w:val="Heading2"/>
      </w:pPr>
      <w:bookmarkStart w:id="15" w:name="_Toc32474492"/>
      <w:r>
        <w:t>Council priorities</w:t>
      </w:r>
      <w:bookmarkEnd w:id="15"/>
      <w:r>
        <w:t xml:space="preserve"> </w:t>
      </w:r>
    </w:p>
    <w:p w14:paraId="55F047C4" w14:textId="77777777" w:rsidR="0097072C" w:rsidRDefault="0097072C" w:rsidP="0097072C">
      <w:bookmarkStart w:id="16" w:name="_Toc535314284"/>
      <w:r>
        <w:t xml:space="preserve">The Council Plan sets out Council’s vision for the City of Port Phillip and the key deliverables for the period between 2017 and 2027. See </w:t>
      </w:r>
      <w:hyperlink r:id="rId9" w:history="1">
        <w:r w:rsidRPr="00BB0144">
          <w:rPr>
            <w:rStyle w:val="Hyperlink"/>
          </w:rPr>
          <w:t>Council Plan and Budget</w:t>
        </w:r>
      </w:hyperlink>
      <w:r>
        <w:rPr>
          <w:rStyle w:val="FootnoteReference"/>
        </w:rPr>
        <w:footnoteReference w:id="1"/>
      </w:r>
      <w:r>
        <w:t xml:space="preserve"> to access the full Council plan.</w:t>
      </w:r>
    </w:p>
    <w:p w14:paraId="7DFDFFEB" w14:textId="77777777" w:rsidR="0097072C" w:rsidRDefault="0097072C" w:rsidP="0097072C">
      <w:r>
        <w:t>The Town Hall Hire Subsidy Scheme supports a number of objectives in the Council Plan 2017-27 including:</w:t>
      </w:r>
    </w:p>
    <w:p w14:paraId="144FD2C9" w14:textId="77777777" w:rsidR="0097072C" w:rsidRPr="00726106" w:rsidRDefault="0097072C" w:rsidP="00682189">
      <w:pPr>
        <w:pStyle w:val="NormalBullets"/>
        <w:numPr>
          <w:ilvl w:val="0"/>
          <w:numId w:val="0"/>
        </w:numPr>
        <w:ind w:left="360"/>
        <w:rPr>
          <w:b/>
        </w:rPr>
      </w:pPr>
      <w:r>
        <w:rPr>
          <w:b/>
        </w:rPr>
        <w:t xml:space="preserve">1.1A  </w:t>
      </w:r>
      <w:r w:rsidRPr="00691AE3">
        <w:t>Providing access to flexible, multi-purpose facilities that support participation in community life through sport, recreation and lifelong learning.</w:t>
      </w:r>
      <w:r w:rsidRPr="00691AE3">
        <w:rPr>
          <w:b/>
        </w:rPr>
        <w:t xml:space="preserve"> </w:t>
      </w:r>
    </w:p>
    <w:p w14:paraId="55561899" w14:textId="77777777" w:rsidR="0097072C" w:rsidRPr="00726106" w:rsidRDefault="0097072C" w:rsidP="00682189">
      <w:pPr>
        <w:pStyle w:val="NormalBullets"/>
        <w:numPr>
          <w:ilvl w:val="0"/>
          <w:numId w:val="0"/>
        </w:numPr>
        <w:ind w:left="360"/>
        <w:rPr>
          <w:b/>
        </w:rPr>
      </w:pPr>
      <w:r w:rsidRPr="00691AE3">
        <w:rPr>
          <w:b/>
        </w:rPr>
        <w:t>1.1B</w:t>
      </w:r>
      <w:r>
        <w:rPr>
          <w:b/>
        </w:rPr>
        <w:t xml:space="preserve">  </w:t>
      </w:r>
      <w:r w:rsidRPr="00691AE3">
        <w:t>Supporting programs that create social connections and strengthen community networks.</w:t>
      </w:r>
    </w:p>
    <w:p w14:paraId="62FA8C88" w14:textId="77777777" w:rsidR="0097072C" w:rsidRPr="00726106" w:rsidRDefault="0097072C" w:rsidP="00682189">
      <w:pPr>
        <w:pStyle w:val="NormalBullets"/>
        <w:numPr>
          <w:ilvl w:val="0"/>
          <w:numId w:val="0"/>
        </w:numPr>
        <w:ind w:left="360"/>
        <w:rPr>
          <w:b/>
        </w:rPr>
      </w:pPr>
      <w:r>
        <w:rPr>
          <w:b/>
        </w:rPr>
        <w:t xml:space="preserve">1.3A  </w:t>
      </w:r>
      <w:r w:rsidRPr="00691AE3">
        <w:t>Facilitating access to relevant services that cater for all ages and life stages.</w:t>
      </w:r>
    </w:p>
    <w:p w14:paraId="40EE2D46" w14:textId="77777777" w:rsidR="0097072C" w:rsidRPr="00726106" w:rsidRDefault="0097072C" w:rsidP="00682189">
      <w:pPr>
        <w:pStyle w:val="NormalBullets"/>
        <w:numPr>
          <w:ilvl w:val="0"/>
          <w:numId w:val="0"/>
        </w:numPr>
        <w:ind w:left="360"/>
        <w:rPr>
          <w:b/>
        </w:rPr>
      </w:pPr>
      <w:r w:rsidRPr="00691AE3">
        <w:rPr>
          <w:b/>
        </w:rPr>
        <w:t>1.3</w:t>
      </w:r>
      <w:r>
        <w:rPr>
          <w:b/>
        </w:rPr>
        <w:t xml:space="preserve">B  </w:t>
      </w:r>
      <w:r w:rsidRPr="00691AE3">
        <w:t>Supporting co-located and integrated services, and shared use arrangements, to improve access for all.</w:t>
      </w:r>
    </w:p>
    <w:p w14:paraId="0C4BB78A" w14:textId="77777777" w:rsidR="0097072C" w:rsidRPr="00726106" w:rsidRDefault="0097072C" w:rsidP="00682189">
      <w:pPr>
        <w:pStyle w:val="NormalBullets"/>
        <w:numPr>
          <w:ilvl w:val="0"/>
          <w:numId w:val="0"/>
        </w:numPr>
        <w:ind w:left="360"/>
      </w:pPr>
      <w:r>
        <w:rPr>
          <w:b/>
        </w:rPr>
        <w:t xml:space="preserve">1.3C  </w:t>
      </w:r>
      <w:r w:rsidRPr="00691AE3">
        <w:t xml:space="preserve">Exploring partnership and innovative ways to delivering services. </w:t>
      </w:r>
    </w:p>
    <w:p w14:paraId="4FCCEC31" w14:textId="77777777" w:rsidR="0097072C" w:rsidRPr="00726106" w:rsidRDefault="0097072C" w:rsidP="00682189">
      <w:pPr>
        <w:pStyle w:val="NormalBullets"/>
        <w:numPr>
          <w:ilvl w:val="0"/>
          <w:numId w:val="0"/>
        </w:numPr>
        <w:ind w:left="360"/>
      </w:pPr>
      <w:r w:rsidRPr="00691AE3">
        <w:rPr>
          <w:b/>
        </w:rPr>
        <w:t xml:space="preserve">1.4A </w:t>
      </w:r>
      <w:r w:rsidRPr="00691AE3">
        <w:rPr>
          <w:b/>
        </w:rPr>
        <w:tab/>
      </w:r>
      <w:r w:rsidRPr="00691AE3">
        <w:t>Supporting programs and events that engage, honour and are inclusive of diverse social and cultural communities.</w:t>
      </w:r>
    </w:p>
    <w:p w14:paraId="038E0373" w14:textId="77777777" w:rsidR="0097072C" w:rsidRPr="00726106" w:rsidRDefault="0097072C" w:rsidP="00682189">
      <w:pPr>
        <w:pStyle w:val="NormalBullets"/>
        <w:numPr>
          <w:ilvl w:val="0"/>
          <w:numId w:val="0"/>
        </w:numPr>
        <w:ind w:left="360"/>
        <w:rPr>
          <w:b/>
        </w:rPr>
      </w:pPr>
      <w:r w:rsidRPr="00691AE3">
        <w:rPr>
          <w:b/>
        </w:rPr>
        <w:t>1.4B</w:t>
      </w:r>
      <w:r>
        <w:rPr>
          <w:b/>
        </w:rPr>
        <w:t xml:space="preserve">  </w:t>
      </w:r>
      <w:r w:rsidRPr="00691AE3">
        <w:t>Protecting and promoting Aboriginal culture and heritage, and continuing reconciliation with our Indigenous community.</w:t>
      </w:r>
    </w:p>
    <w:p w14:paraId="7A26F89D" w14:textId="77777777" w:rsidR="0097072C" w:rsidRPr="00726106" w:rsidRDefault="0097072C" w:rsidP="00682189">
      <w:pPr>
        <w:pStyle w:val="NormalBullets"/>
        <w:numPr>
          <w:ilvl w:val="0"/>
          <w:numId w:val="0"/>
        </w:numPr>
        <w:ind w:left="360"/>
      </w:pPr>
      <w:r>
        <w:rPr>
          <w:b/>
        </w:rPr>
        <w:t xml:space="preserve">3.5A  </w:t>
      </w:r>
      <w:r w:rsidRPr="00691AE3">
        <w:t>Reducing waste and maximising recycling and diversion from landfill through service innovation and facilitating community action</w:t>
      </w:r>
    </w:p>
    <w:bookmarkEnd w:id="11"/>
    <w:p w14:paraId="441C94D3" w14:textId="77777777" w:rsidR="0097072C" w:rsidRPr="00726106" w:rsidRDefault="0097072C" w:rsidP="00682189">
      <w:pPr>
        <w:pStyle w:val="NormalBullets"/>
        <w:numPr>
          <w:ilvl w:val="0"/>
          <w:numId w:val="0"/>
        </w:numPr>
        <w:ind w:left="360"/>
        <w:rPr>
          <w:b/>
        </w:rPr>
      </w:pPr>
      <w:r>
        <w:rPr>
          <w:b/>
        </w:rPr>
        <w:t xml:space="preserve">5.1B  </w:t>
      </w:r>
      <w:r w:rsidRPr="00691AE3">
        <w:t>Collaborating to ensure our entertainment and local economies thrive, while ensuring safe enjoyable places for everyone</w:t>
      </w:r>
      <w:r w:rsidRPr="00691AE3">
        <w:rPr>
          <w:b/>
        </w:rPr>
        <w:t xml:space="preserve"> </w:t>
      </w:r>
    </w:p>
    <w:p w14:paraId="17862AD0" w14:textId="77777777" w:rsidR="0097072C" w:rsidRPr="00726106" w:rsidRDefault="0097072C" w:rsidP="00682189">
      <w:pPr>
        <w:pStyle w:val="NormalBullets"/>
        <w:numPr>
          <w:ilvl w:val="0"/>
          <w:numId w:val="0"/>
        </w:numPr>
        <w:ind w:left="360"/>
        <w:rPr>
          <w:b/>
        </w:rPr>
      </w:pPr>
      <w:r>
        <w:rPr>
          <w:b/>
        </w:rPr>
        <w:t xml:space="preserve">5.2A  </w:t>
      </w:r>
      <w:r w:rsidRPr="00691AE3">
        <w:t>Fostering the knowledge economy and creative industry clusters.</w:t>
      </w:r>
    </w:p>
    <w:p w14:paraId="11251DF8" w14:textId="77777777" w:rsidR="0097072C" w:rsidRPr="00726106" w:rsidRDefault="0097072C" w:rsidP="00682189">
      <w:pPr>
        <w:pStyle w:val="NormalBullets"/>
        <w:numPr>
          <w:ilvl w:val="0"/>
          <w:numId w:val="0"/>
        </w:numPr>
        <w:ind w:left="360"/>
        <w:rPr>
          <w:b/>
        </w:rPr>
      </w:pPr>
      <w:r w:rsidRPr="00691AE3">
        <w:rPr>
          <w:b/>
        </w:rPr>
        <w:t>5.2B</w:t>
      </w:r>
      <w:r>
        <w:rPr>
          <w:b/>
        </w:rPr>
        <w:t xml:space="preserve">  </w:t>
      </w:r>
      <w:r w:rsidRPr="00691AE3">
        <w:t>Facilitating innovation and investment that enables business to start-up, connect and grow.</w:t>
      </w:r>
      <w:r w:rsidRPr="00691AE3">
        <w:rPr>
          <w:b/>
        </w:rPr>
        <w:t xml:space="preserve"> </w:t>
      </w:r>
    </w:p>
    <w:p w14:paraId="57FB739B" w14:textId="77777777" w:rsidR="0097072C" w:rsidRPr="00691AE3" w:rsidRDefault="0097072C" w:rsidP="00682189">
      <w:pPr>
        <w:pStyle w:val="NormalBullets"/>
        <w:numPr>
          <w:ilvl w:val="0"/>
          <w:numId w:val="0"/>
        </w:numPr>
        <w:ind w:left="360"/>
        <w:rPr>
          <w:b/>
        </w:rPr>
      </w:pPr>
      <w:r>
        <w:rPr>
          <w:b/>
        </w:rPr>
        <w:t xml:space="preserve">5.2C  </w:t>
      </w:r>
      <w:r w:rsidRPr="00691AE3">
        <w:t>Partnering to promote Port Phillip as a visitor destination in a way that respects local amenity</w:t>
      </w:r>
      <w:r w:rsidRPr="00691AE3">
        <w:rPr>
          <w:b/>
        </w:rPr>
        <w:t>.</w:t>
      </w:r>
    </w:p>
    <w:p w14:paraId="648EEA35" w14:textId="77777777" w:rsidR="0097072C" w:rsidRPr="00726106" w:rsidRDefault="0097072C" w:rsidP="00682189">
      <w:pPr>
        <w:pStyle w:val="NormalBullets"/>
        <w:numPr>
          <w:ilvl w:val="0"/>
          <w:numId w:val="0"/>
        </w:numPr>
        <w:ind w:left="360"/>
        <w:rPr>
          <w:b/>
        </w:rPr>
      </w:pPr>
      <w:r>
        <w:rPr>
          <w:b/>
        </w:rPr>
        <w:lastRenderedPageBreak/>
        <w:t xml:space="preserve">5.3A  </w:t>
      </w:r>
      <w:r w:rsidRPr="00691AE3">
        <w:t>Promoting and celebration community creativity and participation in art, music</w:t>
      </w:r>
      <w:r>
        <w:t xml:space="preserve"> culture, heritage and festival</w:t>
      </w:r>
    </w:p>
    <w:p w14:paraId="59BBD87B" w14:textId="77777777" w:rsidR="0097072C" w:rsidRDefault="0097072C" w:rsidP="00682189">
      <w:pPr>
        <w:pStyle w:val="NormalBullets"/>
        <w:numPr>
          <w:ilvl w:val="0"/>
          <w:numId w:val="0"/>
        </w:numPr>
        <w:ind w:left="360"/>
        <w:rPr>
          <w:b/>
        </w:rPr>
      </w:pPr>
      <w:r w:rsidRPr="00691AE3">
        <w:rPr>
          <w:b/>
        </w:rPr>
        <w:t>5.3B</w:t>
      </w:r>
      <w:r>
        <w:rPr>
          <w:b/>
        </w:rPr>
        <w:t xml:space="preserve">  </w:t>
      </w:r>
      <w:r w:rsidRPr="00691AE3">
        <w:t>Activating our public spaces and streets through local cultural events and urban art</w:t>
      </w:r>
      <w:r w:rsidRPr="00691AE3">
        <w:rPr>
          <w:b/>
        </w:rPr>
        <w:t>. </w:t>
      </w:r>
    </w:p>
    <w:p w14:paraId="166CCFBC" w14:textId="77777777" w:rsidR="00216B18" w:rsidRDefault="00216B18" w:rsidP="00216B18">
      <w:pPr>
        <w:pStyle w:val="Heading2"/>
      </w:pPr>
      <w:bookmarkStart w:id="17" w:name="_Toc32474493"/>
      <w:r>
        <w:t>Access and Inclusion</w:t>
      </w:r>
      <w:bookmarkEnd w:id="17"/>
      <w:r>
        <w:t xml:space="preserve"> </w:t>
      </w:r>
    </w:p>
    <w:p w14:paraId="676A2C19" w14:textId="77777777" w:rsidR="00216B18" w:rsidRPr="00461FF7" w:rsidRDefault="00216B18" w:rsidP="00216B18">
      <w:r w:rsidRPr="00461FF7">
        <w:t xml:space="preserve">City of Port Phillip is committed to equitable participation and engagement, ensuring access and inclusion </w:t>
      </w:r>
      <w:r w:rsidR="00682189">
        <w:t>for</w:t>
      </w:r>
      <w:r w:rsidRPr="00461FF7">
        <w:t xml:space="preserve"> all of its services and programs for</w:t>
      </w:r>
      <w:r w:rsidR="00682189">
        <w:t xml:space="preserve"> all</w:t>
      </w:r>
      <w:r w:rsidRPr="00461FF7">
        <w:t xml:space="preserve"> people </w:t>
      </w:r>
      <w:r w:rsidR="00682189">
        <w:t>inclusive of</w:t>
      </w:r>
      <w:r w:rsidRPr="00461FF7">
        <w:t xml:space="preserve"> disability. All applicants are encouraged to consider how their organisation and project will be accessible and inclusive of people with disability. </w:t>
      </w:r>
    </w:p>
    <w:p w14:paraId="6F2A9BE3" w14:textId="77777777" w:rsidR="00216B18" w:rsidRPr="004952FF" w:rsidRDefault="00216B18" w:rsidP="00216B18">
      <w:r w:rsidRPr="00461FF7">
        <w:t xml:space="preserve">Information on organising an accessible and inclusive event can be accessed on the following webpage: </w:t>
      </w:r>
      <w:hyperlink r:id="rId10" w:history="1">
        <w:r w:rsidRPr="00461FF7">
          <w:rPr>
            <w:rStyle w:val="Hyperlink"/>
          </w:rPr>
          <w:t>Event Accessibility Checklist</w:t>
        </w:r>
      </w:hyperlink>
      <w:r w:rsidRPr="00461FF7">
        <w:rPr>
          <w:rStyle w:val="FootnoteReference"/>
        </w:rPr>
        <w:footnoteReference w:id="2"/>
      </w:r>
      <w:r w:rsidRPr="00461FF7">
        <w:t>. For further ideas on how to make your program, project, or event accessible, please contact Kelly Armstrong, Metro Access Project Officer on phone:</w:t>
      </w:r>
      <w:r w:rsidR="00E4259B">
        <w:t xml:space="preserve"> 03</w:t>
      </w:r>
      <w:r w:rsidRPr="00461FF7">
        <w:t xml:space="preserve"> 9209 6829  or email: </w:t>
      </w:r>
      <w:r w:rsidR="00E12B04">
        <w:t xml:space="preserve"> </w:t>
      </w:r>
      <w:hyperlink r:id="rId11" w:history="1">
        <w:r w:rsidRPr="00E12B04">
          <w:rPr>
            <w:rStyle w:val="Hyperlink"/>
            <w:lang w:val="en-US" w:eastAsia="ja-JP"/>
          </w:rPr>
          <w:t>Kelly.Armstrong@portphillip.vic.gov.au</w:t>
        </w:r>
      </w:hyperlink>
      <w:r w:rsidRPr="00E12B04">
        <w:rPr>
          <w:rStyle w:val="Hyperlink"/>
          <w:lang w:val="en-US" w:eastAsia="ja-JP"/>
        </w:rPr>
        <w:t>.</w:t>
      </w:r>
    </w:p>
    <w:p w14:paraId="50AB4761" w14:textId="77777777" w:rsidR="00216B18" w:rsidRDefault="00216B18" w:rsidP="00216B18">
      <w:pPr>
        <w:pStyle w:val="Heading2"/>
        <w:rPr>
          <w:rFonts w:ascii="Calibri" w:hAnsi="Calibri" w:cs="Calibri"/>
          <w:color w:val="auto"/>
          <w:lang w:eastAsia="ja-JP"/>
        </w:rPr>
      </w:pPr>
      <w:bookmarkStart w:id="18" w:name="_Toc32474494"/>
      <w:r>
        <w:rPr>
          <w:lang w:eastAsia="ja-JP"/>
        </w:rPr>
        <w:t>Ensuring a child safe City of Port Phillip</w:t>
      </w:r>
      <w:bookmarkEnd w:id="18"/>
    </w:p>
    <w:p w14:paraId="55DE2E14" w14:textId="77777777" w:rsidR="00216B18" w:rsidRPr="00461FF7" w:rsidRDefault="00216B18" w:rsidP="00216B18">
      <w:pPr>
        <w:rPr>
          <w:lang w:eastAsia="en-US"/>
        </w:rPr>
      </w:pPr>
      <w:r w:rsidRPr="00461FF7">
        <w:rPr>
          <w:lang w:val="en-US" w:eastAsia="ja-JP"/>
        </w:rPr>
        <w:t>The City of Port Phillip has zero tolerance for child abuse and we are a</w:t>
      </w:r>
      <w:r w:rsidRPr="00461FF7">
        <w:rPr>
          <w:lang w:val="en-US"/>
        </w:rPr>
        <w:t xml:space="preserve"> </w:t>
      </w:r>
      <w:r w:rsidRPr="00461FF7">
        <w:t xml:space="preserve">committed Child Safe organisation. Our commitment is to ensure that </w:t>
      </w:r>
      <w:r w:rsidRPr="00461FF7">
        <w:rPr>
          <w:lang w:val="en-US" w:eastAsia="ja-JP"/>
        </w:rPr>
        <w:t xml:space="preserve">a culture of child safety is embedded across our community to safeguard every child and young person accessing City of Port Phillip. All grant applications that work directly with children and young people are required to comply with legislation and regulations relating to child safety including but not limited to the </w:t>
      </w:r>
      <w:r w:rsidRPr="00461FF7">
        <w:rPr>
          <w:i/>
          <w:iCs/>
          <w:lang w:val="en-US" w:eastAsia="ja-JP"/>
        </w:rPr>
        <w:t>Working with Children Act 2005</w:t>
      </w:r>
      <w:r w:rsidRPr="00461FF7">
        <w:rPr>
          <w:lang w:val="en-US" w:eastAsia="ja-JP"/>
        </w:rPr>
        <w:t xml:space="preserve"> and the </w:t>
      </w:r>
      <w:r w:rsidRPr="00461FF7">
        <w:rPr>
          <w:i/>
          <w:iCs/>
          <w:lang w:val="en-US" w:eastAsia="ja-JP"/>
        </w:rPr>
        <w:t xml:space="preserve">Working with Children Regulations 2016 </w:t>
      </w:r>
      <w:r w:rsidRPr="00461FF7">
        <w:rPr>
          <w:lang w:val="en-US" w:eastAsia="ja-JP"/>
        </w:rPr>
        <w:t> and</w:t>
      </w:r>
      <w:r w:rsidRPr="00461FF7">
        <w:rPr>
          <w:i/>
          <w:iCs/>
          <w:lang w:val="en-US" w:eastAsia="ja-JP"/>
        </w:rPr>
        <w:t xml:space="preserve"> </w:t>
      </w:r>
      <w:r w:rsidRPr="00461FF7">
        <w:rPr>
          <w:lang w:val="en-US" w:eastAsia="ja-JP"/>
        </w:rPr>
        <w:t>the Victorian Child Safe Standards (CSS) .  </w:t>
      </w:r>
    </w:p>
    <w:p w14:paraId="479A86F0" w14:textId="2588A036" w:rsidR="00216B18" w:rsidRPr="00461FF7" w:rsidRDefault="00216B18" w:rsidP="00216B18">
      <w:pPr>
        <w:rPr>
          <w:lang w:val="en-US" w:eastAsia="ja-JP"/>
        </w:rPr>
      </w:pPr>
      <w:r w:rsidRPr="00461FF7">
        <w:rPr>
          <w:lang w:val="en-US" w:eastAsia="ja-JP"/>
        </w:rPr>
        <w:t xml:space="preserve">All applications that work directly with children and young people that are not compliant with the </w:t>
      </w:r>
      <w:hyperlink r:id="rId12" w:history="1">
        <w:r w:rsidRPr="00461FF7">
          <w:rPr>
            <w:rStyle w:val="Hyperlink"/>
            <w:lang w:val="en-US" w:eastAsia="ja-JP"/>
          </w:rPr>
          <w:t>Victorian Child Safe Standards</w:t>
        </w:r>
      </w:hyperlink>
      <w:r w:rsidRPr="00461FF7">
        <w:rPr>
          <w:lang w:val="en-US" w:eastAsia="ja-JP"/>
        </w:rPr>
        <w:t xml:space="preserve"> or </w:t>
      </w:r>
      <w:r w:rsidR="00652DA5">
        <w:rPr>
          <w:lang w:val="en-US" w:eastAsia="ja-JP"/>
        </w:rPr>
        <w:t>arent</w:t>
      </w:r>
      <w:r w:rsidRPr="00461FF7">
        <w:rPr>
          <w:lang w:val="en-US" w:eastAsia="ja-JP"/>
        </w:rPr>
        <w:t xml:space="preserve"> actively working towards compliance to the satisfaction of the Commission for Children and Young People, will not be eligible to receive funding under the Community Grant Program. For more information on the Victorian Child Safe Standards please refer to </w:t>
      </w:r>
      <w:hyperlink r:id="rId13" w:history="1">
        <w:r w:rsidR="008E5934" w:rsidRPr="00461FF7">
          <w:rPr>
            <w:rStyle w:val="Hyperlink"/>
            <w:lang w:val="en-US" w:eastAsia="ja-JP"/>
          </w:rPr>
          <w:t>Victorian Child Safe Standards</w:t>
        </w:r>
      </w:hyperlink>
      <w:r w:rsidR="008E5934" w:rsidRPr="00461FF7">
        <w:rPr>
          <w:lang w:val="en-US" w:eastAsia="ja-JP"/>
        </w:rPr>
        <w:t xml:space="preserve"> </w:t>
      </w:r>
    </w:p>
    <w:p w14:paraId="0E377E95" w14:textId="77777777" w:rsidR="00E4259B" w:rsidRDefault="00216B18" w:rsidP="00216B18">
      <w:pPr>
        <w:rPr>
          <w:lang w:val="en-US" w:eastAsia="ja-JP"/>
        </w:rPr>
      </w:pPr>
      <w:r w:rsidRPr="00461FF7">
        <w:rPr>
          <w:lang w:val="en-US" w:eastAsia="ja-JP"/>
        </w:rPr>
        <w:t>For more information on how C</w:t>
      </w:r>
      <w:r w:rsidR="00652DA5">
        <w:rPr>
          <w:lang w:val="en-US" w:eastAsia="ja-JP"/>
        </w:rPr>
        <w:t>ity of Port Phillip</w:t>
      </w:r>
      <w:r w:rsidRPr="00461FF7">
        <w:rPr>
          <w:lang w:val="en-US" w:eastAsia="ja-JP"/>
        </w:rPr>
        <w:t xml:space="preserve"> is creating a child safe </w:t>
      </w:r>
      <w:r w:rsidR="00652DA5">
        <w:rPr>
          <w:lang w:val="en-US" w:eastAsia="ja-JP"/>
        </w:rPr>
        <w:t>city</w:t>
      </w:r>
      <w:r w:rsidRPr="00461FF7">
        <w:rPr>
          <w:lang w:val="en-US" w:eastAsia="ja-JP"/>
        </w:rPr>
        <w:t xml:space="preserve"> please call Samantha Neville, Child Safe Standards Project Officer on 9209 6746 or </w:t>
      </w:r>
      <w:hyperlink r:id="rId14" w:history="1">
        <w:r w:rsidRPr="00461FF7">
          <w:rPr>
            <w:rStyle w:val="Hyperlink"/>
            <w:lang w:val="en-US" w:eastAsia="ja-JP"/>
          </w:rPr>
          <w:t>samantha.neville@portphillip.vic.gov.au</w:t>
        </w:r>
      </w:hyperlink>
      <w:r w:rsidRPr="00461FF7">
        <w:rPr>
          <w:lang w:val="en-US" w:eastAsia="ja-JP"/>
        </w:rPr>
        <w:t xml:space="preserve">  </w:t>
      </w:r>
    </w:p>
    <w:p w14:paraId="01FFC1FF" w14:textId="77777777" w:rsidR="00E4259B" w:rsidRDefault="00E4259B">
      <w:pPr>
        <w:tabs>
          <w:tab w:val="clear" w:pos="-3060"/>
          <w:tab w:val="clear" w:pos="-2340"/>
          <w:tab w:val="clear" w:pos="6300"/>
        </w:tabs>
        <w:suppressAutoHyphens w:val="0"/>
        <w:spacing w:after="160" w:line="259" w:lineRule="auto"/>
        <w:rPr>
          <w:lang w:val="en-US" w:eastAsia="ja-JP"/>
        </w:rPr>
      </w:pPr>
      <w:r>
        <w:rPr>
          <w:lang w:val="en-US" w:eastAsia="ja-JP"/>
        </w:rPr>
        <w:br w:type="page"/>
      </w:r>
    </w:p>
    <w:p w14:paraId="4BC1F907" w14:textId="77777777" w:rsidR="00216B18" w:rsidRDefault="00216B18" w:rsidP="00216B18">
      <w:pPr>
        <w:pStyle w:val="Heading2"/>
      </w:pPr>
      <w:bookmarkStart w:id="19" w:name="_Toc32474495"/>
      <w:r>
        <w:lastRenderedPageBreak/>
        <w:t>Making Your Event More Environmentally Sustainable</w:t>
      </w:r>
      <w:bookmarkEnd w:id="19"/>
      <w:r>
        <w:t xml:space="preserve"> </w:t>
      </w:r>
    </w:p>
    <w:p w14:paraId="4BFB75A9" w14:textId="77777777" w:rsidR="00495022" w:rsidRPr="00477F37" w:rsidRDefault="00495022" w:rsidP="00495022">
      <w:pPr>
        <w:rPr>
          <w:rFonts w:ascii="Calibri" w:hAnsi="Calibri" w:cs="Calibri"/>
          <w:noProof w:val="0"/>
          <w:color w:val="auto"/>
        </w:rPr>
      </w:pPr>
      <w:bookmarkStart w:id="20" w:name="_Hlk32568917"/>
      <w:r>
        <w:t xml:space="preserve">The City of Port Phillip has committed to improving sustainability and reducing waste through its strategies, </w:t>
      </w:r>
      <w:r>
        <w:rPr>
          <w:i/>
          <w:iCs/>
        </w:rPr>
        <w:t xml:space="preserve">Act and Adapt </w:t>
      </w:r>
      <w:r>
        <w:t xml:space="preserve">and </w:t>
      </w:r>
      <w:r>
        <w:rPr>
          <w:i/>
          <w:iCs/>
        </w:rPr>
        <w:t>Don’t Waste It!</w:t>
      </w:r>
      <w:r>
        <w:t xml:space="preserve">  Applicants are advised to </w:t>
      </w:r>
      <w:r>
        <w:rPr>
          <w:b/>
          <w:bCs/>
        </w:rPr>
        <w:t>avoid the following</w:t>
      </w:r>
      <w:r>
        <w:t>:</w:t>
      </w:r>
    </w:p>
    <w:p w14:paraId="6BDD3123" w14:textId="77777777" w:rsidR="00495022" w:rsidRDefault="00495022" w:rsidP="00495022">
      <w:pPr>
        <w:numPr>
          <w:ilvl w:val="0"/>
          <w:numId w:val="7"/>
        </w:numPr>
        <w:tabs>
          <w:tab w:val="clear" w:pos="-3060"/>
          <w:tab w:val="clear" w:pos="-2340"/>
          <w:tab w:val="clear" w:pos="6300"/>
        </w:tabs>
        <w:suppressAutoHyphens w:val="0"/>
        <w:contextualSpacing/>
        <w:rPr>
          <w:color w:val="000000"/>
        </w:rPr>
      </w:pPr>
      <w:r>
        <w:rPr>
          <w:color w:val="000000"/>
        </w:rPr>
        <w:t xml:space="preserve">Single use plastic bags </w:t>
      </w:r>
    </w:p>
    <w:p w14:paraId="607ACB7C" w14:textId="14FC3AEA" w:rsidR="00495022" w:rsidRPr="00495022" w:rsidRDefault="00495022" w:rsidP="00495022">
      <w:pPr>
        <w:numPr>
          <w:ilvl w:val="0"/>
          <w:numId w:val="7"/>
        </w:numPr>
        <w:tabs>
          <w:tab w:val="clear" w:pos="-3060"/>
          <w:tab w:val="clear" w:pos="-2340"/>
          <w:tab w:val="clear" w:pos="6300"/>
        </w:tabs>
        <w:suppressAutoHyphens w:val="0"/>
        <w:contextualSpacing/>
        <w:rPr>
          <w:color w:val="000000"/>
        </w:rPr>
      </w:pPr>
      <w:r>
        <w:rPr>
          <w:color w:val="000000"/>
        </w:rPr>
        <w:t xml:space="preserve">Single use straws and balloons </w:t>
      </w:r>
      <w:r>
        <w:t>(these items</w:t>
      </w:r>
      <w:r w:rsidRPr="00495022">
        <w:t xml:space="preserve"> should be limited to use for accessibility purposes) </w:t>
      </w:r>
    </w:p>
    <w:p w14:paraId="1C899E05" w14:textId="1DC4651C" w:rsidR="00495022" w:rsidRPr="00495022" w:rsidRDefault="00495022" w:rsidP="00495022">
      <w:pPr>
        <w:numPr>
          <w:ilvl w:val="0"/>
          <w:numId w:val="7"/>
        </w:numPr>
        <w:tabs>
          <w:tab w:val="clear" w:pos="-3060"/>
          <w:tab w:val="clear" w:pos="-2340"/>
          <w:tab w:val="clear" w:pos="6300"/>
        </w:tabs>
        <w:suppressAutoHyphens w:val="0"/>
        <w:contextualSpacing/>
        <w:rPr>
          <w:color w:val="000000"/>
        </w:rPr>
      </w:pPr>
      <w:r>
        <w:rPr>
          <w:color w:val="000000"/>
        </w:rPr>
        <w:t>Helium balloons</w:t>
      </w:r>
    </w:p>
    <w:p w14:paraId="224EA728" w14:textId="77777777" w:rsidR="00495022" w:rsidRPr="00827B75" w:rsidRDefault="00495022" w:rsidP="00495022">
      <w:pPr>
        <w:numPr>
          <w:ilvl w:val="0"/>
          <w:numId w:val="7"/>
        </w:numPr>
        <w:tabs>
          <w:tab w:val="clear" w:pos="-3060"/>
          <w:tab w:val="clear" w:pos="-2340"/>
          <w:tab w:val="clear" w:pos="6300"/>
        </w:tabs>
        <w:suppressAutoHyphens w:val="0"/>
        <w:contextualSpacing/>
      </w:pPr>
      <w:r w:rsidRPr="00827B75">
        <w:rPr>
          <w:color w:val="000000"/>
        </w:rPr>
        <w:t xml:space="preserve">Single use crockery and cutlery that cannot be recycled. </w:t>
      </w:r>
    </w:p>
    <w:p w14:paraId="3E6F6CE4" w14:textId="77777777" w:rsidR="00495022" w:rsidRDefault="00495022" w:rsidP="00495022">
      <w:pPr>
        <w:tabs>
          <w:tab w:val="clear" w:pos="-3060"/>
          <w:tab w:val="clear" w:pos="-2340"/>
          <w:tab w:val="clear" w:pos="6300"/>
        </w:tabs>
        <w:suppressAutoHyphens w:val="0"/>
        <w:ind w:left="720"/>
        <w:contextualSpacing/>
      </w:pPr>
    </w:p>
    <w:p w14:paraId="53B14BFB" w14:textId="3746C623" w:rsidR="00495022" w:rsidRDefault="00495022" w:rsidP="00495022">
      <w:pPr>
        <w:tabs>
          <w:tab w:val="clear" w:pos="-3060"/>
          <w:tab w:val="clear" w:pos="-2340"/>
          <w:tab w:val="clear" w:pos="6300"/>
        </w:tabs>
        <w:suppressAutoHyphens w:val="0"/>
        <w:spacing w:before="240"/>
        <w:contextualSpacing/>
      </w:pPr>
      <w:r>
        <w:t>Applicants are encouraged to adhere to the waste management guide using the resources provided by the City of Port Phillip (landfil, organic waste and recycle bins) and to consider how they can reduce their impact on the environment by implementing the following:</w:t>
      </w:r>
    </w:p>
    <w:p w14:paraId="53BCBE44" w14:textId="77777777" w:rsidR="00495022" w:rsidRDefault="00495022" w:rsidP="00495022">
      <w:pPr>
        <w:tabs>
          <w:tab w:val="clear" w:pos="-3060"/>
          <w:tab w:val="clear" w:pos="-2340"/>
          <w:tab w:val="clear" w:pos="6300"/>
        </w:tabs>
        <w:suppressAutoHyphens w:val="0"/>
        <w:spacing w:before="240"/>
        <w:ind w:left="720"/>
        <w:contextualSpacing/>
      </w:pPr>
    </w:p>
    <w:p w14:paraId="0ADC07A1" w14:textId="77777777" w:rsidR="00495022" w:rsidRDefault="00495022" w:rsidP="00495022">
      <w:pPr>
        <w:numPr>
          <w:ilvl w:val="0"/>
          <w:numId w:val="8"/>
        </w:numPr>
        <w:tabs>
          <w:tab w:val="clear" w:pos="-3060"/>
          <w:tab w:val="clear" w:pos="-2340"/>
          <w:tab w:val="clear" w:pos="6300"/>
        </w:tabs>
        <w:suppressAutoHyphens w:val="0"/>
        <w:contextualSpacing/>
      </w:pPr>
      <w:r>
        <w:t>Avoiding the use of disposable decorations</w:t>
      </w:r>
    </w:p>
    <w:p w14:paraId="361D658F" w14:textId="77777777" w:rsidR="00495022" w:rsidRDefault="00495022" w:rsidP="00495022">
      <w:pPr>
        <w:numPr>
          <w:ilvl w:val="0"/>
          <w:numId w:val="8"/>
        </w:numPr>
        <w:tabs>
          <w:tab w:val="clear" w:pos="-3060"/>
          <w:tab w:val="clear" w:pos="-2340"/>
          <w:tab w:val="clear" w:pos="6300"/>
        </w:tabs>
        <w:suppressAutoHyphens w:val="0"/>
        <w:contextualSpacing/>
      </w:pPr>
      <w:r>
        <w:t>Reducing power consumption</w:t>
      </w:r>
    </w:p>
    <w:p w14:paraId="20CDF006" w14:textId="77777777" w:rsidR="00495022" w:rsidRDefault="00495022" w:rsidP="00495022">
      <w:pPr>
        <w:numPr>
          <w:ilvl w:val="0"/>
          <w:numId w:val="8"/>
        </w:numPr>
        <w:tabs>
          <w:tab w:val="clear" w:pos="-3060"/>
          <w:tab w:val="clear" w:pos="-2340"/>
          <w:tab w:val="clear" w:pos="6300"/>
        </w:tabs>
        <w:suppressAutoHyphens w:val="0"/>
        <w:contextualSpacing/>
      </w:pPr>
      <w:r>
        <w:t xml:space="preserve">Utilising e-ticketing </w:t>
      </w:r>
    </w:p>
    <w:p w14:paraId="177DDE30" w14:textId="77777777" w:rsidR="00495022" w:rsidRDefault="00495022" w:rsidP="00495022">
      <w:pPr>
        <w:numPr>
          <w:ilvl w:val="0"/>
          <w:numId w:val="8"/>
        </w:numPr>
        <w:tabs>
          <w:tab w:val="clear" w:pos="-3060"/>
          <w:tab w:val="clear" w:pos="-2340"/>
          <w:tab w:val="clear" w:pos="6300"/>
        </w:tabs>
        <w:suppressAutoHyphens w:val="0"/>
        <w:contextualSpacing/>
      </w:pPr>
      <w:r>
        <w:t xml:space="preserve">Promoting public transport, walking and cycling </w:t>
      </w:r>
    </w:p>
    <w:p w14:paraId="52C1A044" w14:textId="77777777" w:rsidR="00495022" w:rsidRDefault="00495022" w:rsidP="00495022">
      <w:pPr>
        <w:numPr>
          <w:ilvl w:val="0"/>
          <w:numId w:val="8"/>
        </w:numPr>
        <w:tabs>
          <w:tab w:val="clear" w:pos="-3060"/>
          <w:tab w:val="clear" w:pos="-2340"/>
          <w:tab w:val="clear" w:pos="6300"/>
        </w:tabs>
        <w:suppressAutoHyphens w:val="0"/>
        <w:contextualSpacing/>
      </w:pPr>
      <w:r>
        <w:t>Sharing resources with other organisations or project supporters</w:t>
      </w:r>
    </w:p>
    <w:p w14:paraId="692E3FD2" w14:textId="77777777" w:rsidR="00495022" w:rsidRDefault="00495022" w:rsidP="00495022">
      <w:pPr>
        <w:numPr>
          <w:ilvl w:val="0"/>
          <w:numId w:val="8"/>
        </w:numPr>
        <w:tabs>
          <w:tab w:val="clear" w:pos="-3060"/>
          <w:tab w:val="clear" w:pos="-2340"/>
          <w:tab w:val="clear" w:pos="6300"/>
        </w:tabs>
        <w:suppressAutoHyphens w:val="0"/>
        <w:contextualSpacing/>
      </w:pPr>
      <w:r>
        <w:t>Washing crockery and cutlery rather than using disposable</w:t>
      </w:r>
    </w:p>
    <w:p w14:paraId="2E534371" w14:textId="77777777" w:rsidR="00495022" w:rsidRDefault="00495022" w:rsidP="00495022">
      <w:pPr>
        <w:numPr>
          <w:ilvl w:val="0"/>
          <w:numId w:val="8"/>
        </w:numPr>
        <w:tabs>
          <w:tab w:val="clear" w:pos="-3060"/>
          <w:tab w:val="clear" w:pos="-2340"/>
          <w:tab w:val="clear" w:pos="6300"/>
        </w:tabs>
        <w:suppressAutoHyphens w:val="0"/>
        <w:contextualSpacing/>
      </w:pPr>
      <w:r>
        <w:t xml:space="preserve">Encouraging reusable coffee cups </w:t>
      </w:r>
    </w:p>
    <w:p w14:paraId="4B4F0BF5" w14:textId="77777777" w:rsidR="00495022" w:rsidRDefault="00495022" w:rsidP="00495022">
      <w:pPr>
        <w:numPr>
          <w:ilvl w:val="0"/>
          <w:numId w:val="8"/>
        </w:numPr>
        <w:tabs>
          <w:tab w:val="clear" w:pos="-3060"/>
          <w:tab w:val="clear" w:pos="-2340"/>
          <w:tab w:val="clear" w:pos="6300"/>
        </w:tabs>
        <w:suppressAutoHyphens w:val="0"/>
        <w:contextualSpacing/>
      </w:pPr>
      <w:r>
        <w:t>Providing drinking water to reduce the use of plastic bottles</w:t>
      </w:r>
    </w:p>
    <w:p w14:paraId="328AA1E7" w14:textId="24A6947E" w:rsidR="00495022" w:rsidRDefault="00495022" w:rsidP="00495022">
      <w:pPr>
        <w:numPr>
          <w:ilvl w:val="0"/>
          <w:numId w:val="8"/>
        </w:numPr>
        <w:tabs>
          <w:tab w:val="clear" w:pos="-3060"/>
          <w:tab w:val="clear" w:pos="-2340"/>
          <w:tab w:val="clear" w:pos="6300"/>
        </w:tabs>
        <w:suppressAutoHyphens w:val="0"/>
        <w:contextualSpacing/>
      </w:pPr>
      <w:r>
        <w:t>Composting organic waste</w:t>
      </w:r>
    </w:p>
    <w:p w14:paraId="1BB7FF8B" w14:textId="018456DD" w:rsidR="00495022" w:rsidRDefault="00495022" w:rsidP="00495022">
      <w:pPr>
        <w:tabs>
          <w:tab w:val="clear" w:pos="-3060"/>
          <w:tab w:val="clear" w:pos="-2340"/>
          <w:tab w:val="clear" w:pos="6300"/>
        </w:tabs>
        <w:suppressAutoHyphens w:val="0"/>
        <w:contextualSpacing/>
      </w:pPr>
    </w:p>
    <w:bookmarkEnd w:id="20"/>
    <w:p w14:paraId="13AFD6C9" w14:textId="08373AE0" w:rsidR="00495022" w:rsidRDefault="00216B18" w:rsidP="00216B18">
      <w:r>
        <w:t xml:space="preserve">For advice about making your event more sustainable contact Lisa Paton, City of Port Phillip Sustainable Programs on 03 8563 7734 or </w:t>
      </w:r>
      <w:hyperlink r:id="rId15" w:history="1">
        <w:r>
          <w:rPr>
            <w:rStyle w:val="Hyperlink"/>
          </w:rPr>
          <w:t>Lisa.Paton@portphillip.vic.gov.au</w:t>
        </w:r>
      </w:hyperlink>
      <w:r>
        <w:t xml:space="preserve">  </w:t>
      </w:r>
    </w:p>
    <w:p w14:paraId="0B546898" w14:textId="77777777" w:rsidR="00216B18" w:rsidRDefault="00216B18" w:rsidP="00216B18">
      <w:pPr>
        <w:pStyle w:val="Heading2"/>
      </w:pPr>
      <w:bookmarkStart w:id="21" w:name="_Toc32474496"/>
      <w:r>
        <w:t>Lobbying</w:t>
      </w:r>
      <w:bookmarkEnd w:id="21"/>
    </w:p>
    <w:p w14:paraId="403D4A7D" w14:textId="77777777" w:rsidR="00216B18" w:rsidRPr="00216B18" w:rsidRDefault="00216B18" w:rsidP="00216B18">
      <w:r>
        <w:t xml:space="preserve">Canvassing or lobbying of Councillors or employees of the City of Port Phillip in relation to any grant, subsidy </w:t>
      </w:r>
      <w:r w:rsidR="00F824A6">
        <w:t>or</w:t>
      </w:r>
      <w:r>
        <w:t xml:space="preserve"> sponsorship applications is </w:t>
      </w:r>
      <w:r w:rsidRPr="00F824A6">
        <w:rPr>
          <w:b/>
        </w:rPr>
        <w:t>prohibited</w:t>
      </w:r>
      <w:r>
        <w:t>.</w:t>
      </w:r>
    </w:p>
    <w:p w14:paraId="0A5F6AE4" w14:textId="77777777" w:rsidR="00621515" w:rsidRDefault="00621515" w:rsidP="00216B18">
      <w:pPr>
        <w:pStyle w:val="Heading2"/>
      </w:pPr>
      <w:bookmarkStart w:id="22" w:name="_Toc32474497"/>
      <w:r>
        <w:t>Funding Principles</w:t>
      </w:r>
      <w:bookmarkEnd w:id="16"/>
      <w:bookmarkEnd w:id="22"/>
      <w:r>
        <w:t xml:space="preserve"> </w:t>
      </w:r>
    </w:p>
    <w:p w14:paraId="09945944" w14:textId="77777777" w:rsidR="00EE2C90" w:rsidRDefault="0097072C" w:rsidP="00EE2C90">
      <w:r>
        <w:t>Events</w:t>
      </w:r>
      <w:r w:rsidR="00EE2C90">
        <w:t xml:space="preserve"> supporte</w:t>
      </w:r>
      <w:r w:rsidR="007A56F6">
        <w:t xml:space="preserve">d through the </w:t>
      </w:r>
      <w:r w:rsidR="00C82065">
        <w:t xml:space="preserve">Town Hall Hire Subsidy Scheme </w:t>
      </w:r>
      <w:r w:rsidR="00EE2C90">
        <w:t>must</w:t>
      </w:r>
      <w:r w:rsidR="001265C2">
        <w:t xml:space="preserve"> promote the </w:t>
      </w:r>
      <w:hyperlink r:id="rId16" w:history="1">
        <w:r w:rsidR="001265C2" w:rsidRPr="001265C2">
          <w:rPr>
            <w:rStyle w:val="Hyperlink"/>
          </w:rPr>
          <w:t>Social Justice Charter</w:t>
        </w:r>
      </w:hyperlink>
      <w:r w:rsidR="001265C2">
        <w:t xml:space="preserve"> and </w:t>
      </w:r>
      <w:r w:rsidR="002D1972">
        <w:t xml:space="preserve">also </w:t>
      </w:r>
      <w:r w:rsidR="00EE2C90">
        <w:t>demonstrate</w:t>
      </w:r>
      <w:r w:rsidR="00621515">
        <w:t xml:space="preserve"> the following principles</w:t>
      </w:r>
      <w:r w:rsidR="00EE2C90">
        <w:t xml:space="preserve">: </w:t>
      </w:r>
    </w:p>
    <w:tbl>
      <w:tblPr>
        <w:tblStyle w:val="TableContemporary"/>
        <w:tblW w:w="9606" w:type="dxa"/>
        <w:tblLayout w:type="fixed"/>
        <w:tblLook w:val="00A0" w:firstRow="1" w:lastRow="0" w:firstColumn="1" w:lastColumn="0" w:noHBand="0" w:noVBand="0"/>
        <w:tblCaption w:val="City of Port Phillip Community Funding Principles "/>
        <w:tblDescription w:val="City of Port Phillip Community Funding Principles "/>
      </w:tblPr>
      <w:tblGrid>
        <w:gridCol w:w="2694"/>
        <w:gridCol w:w="6912"/>
      </w:tblGrid>
      <w:tr w:rsidR="00F824A6" w:rsidRPr="00F56AB9" w14:paraId="43949A10" w14:textId="77777777" w:rsidTr="00E94198">
        <w:trPr>
          <w:cnfStyle w:val="100000000000" w:firstRow="1" w:lastRow="0" w:firstColumn="0" w:lastColumn="0" w:oddVBand="0" w:evenVBand="0" w:oddHBand="0" w:evenHBand="0" w:firstRowFirstColumn="0" w:firstRowLastColumn="0" w:lastRowFirstColumn="0" w:lastRowLastColumn="0"/>
          <w:trHeight w:val="709"/>
        </w:trPr>
        <w:tc>
          <w:tcPr>
            <w:tcW w:w="2694" w:type="dxa"/>
          </w:tcPr>
          <w:p w14:paraId="1B312E2B" w14:textId="77777777" w:rsidR="00F824A6" w:rsidRPr="00E94198" w:rsidRDefault="00F824A6" w:rsidP="00461972">
            <w:r w:rsidRPr="00F824A6">
              <w:t>Child Safe Standards</w:t>
            </w:r>
          </w:p>
        </w:tc>
        <w:tc>
          <w:tcPr>
            <w:tcW w:w="6912" w:type="dxa"/>
          </w:tcPr>
          <w:p w14:paraId="48C4DE65" w14:textId="77777777" w:rsidR="00F824A6" w:rsidRPr="00F824A6" w:rsidRDefault="00F824A6" w:rsidP="00461972">
            <w:pPr>
              <w:rPr>
                <w:b w:val="0"/>
              </w:rPr>
            </w:pPr>
            <w:r w:rsidRPr="00F824A6">
              <w:rPr>
                <w:b w:val="0"/>
              </w:rPr>
              <w:t>Meet obligations in relation to keeping children and young people safe</w:t>
            </w:r>
          </w:p>
        </w:tc>
      </w:tr>
      <w:tr w:rsidR="00E94198" w:rsidRPr="00F56AB9" w14:paraId="28774158" w14:textId="77777777" w:rsidTr="00E94198">
        <w:trPr>
          <w:cnfStyle w:val="000000100000" w:firstRow="0" w:lastRow="0" w:firstColumn="0" w:lastColumn="0" w:oddVBand="0" w:evenVBand="0" w:oddHBand="1" w:evenHBand="0" w:firstRowFirstColumn="0" w:firstRowLastColumn="0" w:lastRowFirstColumn="0" w:lastRowLastColumn="0"/>
          <w:trHeight w:val="709"/>
        </w:trPr>
        <w:tc>
          <w:tcPr>
            <w:tcW w:w="2694" w:type="dxa"/>
          </w:tcPr>
          <w:p w14:paraId="36E73BB1" w14:textId="77777777" w:rsidR="00E94198" w:rsidRPr="00F824A6" w:rsidRDefault="00E94198" w:rsidP="00461972">
            <w:pPr>
              <w:rPr>
                <w:b/>
              </w:rPr>
            </w:pPr>
            <w:r w:rsidRPr="00F824A6">
              <w:rPr>
                <w:b/>
              </w:rPr>
              <w:t>Inclusion &amp; Accessibility</w:t>
            </w:r>
          </w:p>
        </w:tc>
        <w:tc>
          <w:tcPr>
            <w:tcW w:w="6912" w:type="dxa"/>
          </w:tcPr>
          <w:p w14:paraId="5FE9D402" w14:textId="77777777" w:rsidR="00E94198" w:rsidRPr="00E94198" w:rsidRDefault="00E94198" w:rsidP="00461972">
            <w:pPr>
              <w:rPr>
                <w:b/>
              </w:rPr>
            </w:pPr>
            <w:r w:rsidRPr="00E94198">
              <w:t>Be free from discrimination and enable active participation of all community members</w:t>
            </w:r>
          </w:p>
        </w:tc>
      </w:tr>
      <w:tr w:rsidR="00E94198" w:rsidRPr="00F56AB9" w14:paraId="05E49614" w14:textId="77777777" w:rsidTr="00E94198">
        <w:trPr>
          <w:cnfStyle w:val="000000010000" w:firstRow="0" w:lastRow="0" w:firstColumn="0" w:lastColumn="0" w:oddVBand="0" w:evenVBand="0" w:oddHBand="0" w:evenHBand="1" w:firstRowFirstColumn="0" w:firstRowLastColumn="0" w:lastRowFirstColumn="0" w:lastRowLastColumn="0"/>
          <w:trHeight w:val="454"/>
        </w:trPr>
        <w:tc>
          <w:tcPr>
            <w:tcW w:w="2694" w:type="dxa"/>
          </w:tcPr>
          <w:p w14:paraId="0212A709" w14:textId="77777777" w:rsidR="00E94198" w:rsidRPr="007C4C0F" w:rsidRDefault="00E94198" w:rsidP="00461972">
            <w:r w:rsidRPr="00793E81">
              <w:rPr>
                <w:b/>
              </w:rPr>
              <w:t>Equity</w:t>
            </w:r>
          </w:p>
        </w:tc>
        <w:tc>
          <w:tcPr>
            <w:tcW w:w="6912" w:type="dxa"/>
          </w:tcPr>
          <w:p w14:paraId="209EC47C" w14:textId="77777777" w:rsidR="00E94198" w:rsidRPr="007C4C0F" w:rsidRDefault="00E94198" w:rsidP="00461972">
            <w:r>
              <w:t>Address disadvantage and offer equal opportunity to all by recognizing the individual needs of different community members</w:t>
            </w:r>
          </w:p>
        </w:tc>
      </w:tr>
      <w:tr w:rsidR="00E94198" w:rsidRPr="00BC1460" w14:paraId="02762BCC" w14:textId="77777777" w:rsidTr="00E94198">
        <w:trPr>
          <w:cnfStyle w:val="000000100000" w:firstRow="0" w:lastRow="0" w:firstColumn="0" w:lastColumn="0" w:oddVBand="0" w:evenVBand="0" w:oddHBand="1" w:evenHBand="0" w:firstRowFirstColumn="0" w:firstRowLastColumn="0" w:lastRowFirstColumn="0" w:lastRowLastColumn="0"/>
          <w:trHeight w:val="454"/>
        </w:trPr>
        <w:tc>
          <w:tcPr>
            <w:tcW w:w="2694" w:type="dxa"/>
          </w:tcPr>
          <w:p w14:paraId="2D5E3D41" w14:textId="77777777" w:rsidR="00E94198" w:rsidRPr="007C4C0F" w:rsidRDefault="00E94198" w:rsidP="00461972">
            <w:pPr>
              <w:rPr>
                <w:i/>
              </w:rPr>
            </w:pPr>
            <w:r w:rsidRPr="00793E81">
              <w:rPr>
                <w:b/>
              </w:rPr>
              <w:t>Responsiveness</w:t>
            </w:r>
          </w:p>
        </w:tc>
        <w:tc>
          <w:tcPr>
            <w:tcW w:w="6912" w:type="dxa"/>
          </w:tcPr>
          <w:p w14:paraId="1360C51A" w14:textId="77777777" w:rsidR="00E94198" w:rsidRPr="007C4C0F" w:rsidRDefault="00E94198" w:rsidP="00461972">
            <w:r>
              <w:t>Consult with participants and service users to respond to community needs.</w:t>
            </w:r>
          </w:p>
        </w:tc>
      </w:tr>
      <w:tr w:rsidR="00E94198" w:rsidRPr="00F56AB9" w14:paraId="23345946" w14:textId="77777777" w:rsidTr="00461972">
        <w:trPr>
          <w:cnfStyle w:val="000000010000" w:firstRow="0" w:lastRow="0" w:firstColumn="0" w:lastColumn="0" w:oddVBand="0" w:evenVBand="0" w:oddHBand="0" w:evenHBand="1" w:firstRowFirstColumn="0" w:firstRowLastColumn="0" w:lastRowFirstColumn="0" w:lastRowLastColumn="0"/>
          <w:trHeight w:val="654"/>
        </w:trPr>
        <w:tc>
          <w:tcPr>
            <w:tcW w:w="2694" w:type="dxa"/>
          </w:tcPr>
          <w:p w14:paraId="0A7AF12D" w14:textId="77777777" w:rsidR="00E94198" w:rsidRPr="007C4C0F" w:rsidRDefault="00E94198" w:rsidP="00461972">
            <w:pPr>
              <w:rPr>
                <w:color w:val="FF0000"/>
              </w:rPr>
            </w:pPr>
            <w:r w:rsidRPr="00793E81">
              <w:rPr>
                <w:b/>
              </w:rPr>
              <w:t>Efficiency &amp; Effectiveness</w:t>
            </w:r>
          </w:p>
        </w:tc>
        <w:tc>
          <w:tcPr>
            <w:tcW w:w="6912" w:type="dxa"/>
          </w:tcPr>
          <w:p w14:paraId="29830A71" w14:textId="77777777" w:rsidR="00E94198" w:rsidRPr="007C4C0F" w:rsidRDefault="00E94198" w:rsidP="00461972">
            <w:r>
              <w:t>Maximise use of community and Council resources to achieve project goals.</w:t>
            </w:r>
          </w:p>
        </w:tc>
      </w:tr>
      <w:tr w:rsidR="00E94198" w:rsidRPr="00F56AB9" w14:paraId="79F3159C" w14:textId="77777777" w:rsidTr="00E941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tcW w:w="2694" w:type="dxa"/>
          </w:tcPr>
          <w:p w14:paraId="2A51A0EB" w14:textId="77777777" w:rsidR="00E94198" w:rsidRPr="007C4C0F" w:rsidRDefault="00E94198" w:rsidP="00461972">
            <w:r>
              <w:rPr>
                <w:b/>
              </w:rPr>
              <w:t>Accountability</w:t>
            </w:r>
          </w:p>
        </w:tc>
        <w:tc>
          <w:tcPr>
            <w:tcW w:w="6912" w:type="dxa"/>
          </w:tcPr>
          <w:p w14:paraId="18972855" w14:textId="77777777" w:rsidR="00E94198" w:rsidRPr="007C4C0F" w:rsidRDefault="00E94198" w:rsidP="00461972">
            <w:r>
              <w:t>Maintain transparent governance and reporting processes.</w:t>
            </w:r>
          </w:p>
        </w:tc>
      </w:tr>
      <w:tr w:rsidR="00E94198" w:rsidRPr="00F56AB9" w14:paraId="48E0D470" w14:textId="77777777" w:rsidTr="00E94198">
        <w:trPr>
          <w:cnfStyle w:val="000000010000" w:firstRow="0" w:lastRow="0" w:firstColumn="0" w:lastColumn="0" w:oddVBand="0" w:evenVBand="0" w:oddHBand="0" w:evenHBand="1" w:firstRowFirstColumn="0" w:firstRowLastColumn="0" w:lastRowFirstColumn="0" w:lastRowLastColumn="0"/>
          <w:trHeight w:val="454"/>
        </w:trPr>
        <w:tc>
          <w:tcPr>
            <w:tcW w:w="2694" w:type="dxa"/>
          </w:tcPr>
          <w:p w14:paraId="7D910A3A" w14:textId="77777777" w:rsidR="00E94198" w:rsidRPr="007C4C0F" w:rsidRDefault="00E94198" w:rsidP="00461972">
            <w:r w:rsidRPr="00793E81">
              <w:rPr>
                <w:b/>
              </w:rPr>
              <w:t>Sustainability:</w:t>
            </w:r>
          </w:p>
        </w:tc>
        <w:tc>
          <w:tcPr>
            <w:tcW w:w="6912" w:type="dxa"/>
          </w:tcPr>
          <w:p w14:paraId="404241BD" w14:textId="77777777" w:rsidR="00E94198" w:rsidRPr="007C4C0F" w:rsidRDefault="00E94198" w:rsidP="00461972">
            <w:r>
              <w:t>Model environmental, social and economic sustainable practice.</w:t>
            </w:r>
          </w:p>
        </w:tc>
      </w:tr>
    </w:tbl>
    <w:p w14:paraId="7442B24A" w14:textId="7CE6C34D" w:rsidR="00D47FD4" w:rsidRPr="00D47FD4" w:rsidRDefault="00D74131" w:rsidP="00D74131">
      <w:pPr>
        <w:pStyle w:val="Caption"/>
        <w:rPr>
          <w:sz w:val="24"/>
          <w:szCs w:val="24"/>
        </w:rPr>
      </w:pPr>
      <w:bookmarkStart w:id="23" w:name="_Toc531087102"/>
      <w:bookmarkStart w:id="24" w:name="_Toc531089468"/>
      <w:r>
        <w:lastRenderedPageBreak/>
        <w:t xml:space="preserve">Table </w:t>
      </w:r>
      <w:r>
        <w:fldChar w:fldCharType="begin"/>
      </w:r>
      <w:r>
        <w:instrText xml:space="preserve"> SEQ Table \* ARABIC </w:instrText>
      </w:r>
      <w:r>
        <w:fldChar w:fldCharType="separate"/>
      </w:r>
      <w:r w:rsidR="00EE400D">
        <w:t>1</w:t>
      </w:r>
      <w:r>
        <w:fldChar w:fldCharType="end"/>
      </w:r>
      <w:r>
        <w:t>: City of Port Phillip Community Funding Principles</w:t>
      </w:r>
      <w:bookmarkEnd w:id="23"/>
      <w:bookmarkEnd w:id="24"/>
    </w:p>
    <w:p w14:paraId="3DBEA669" w14:textId="77777777" w:rsidR="0097072C" w:rsidRDefault="00F02038" w:rsidP="0097072C">
      <w:pPr>
        <w:pStyle w:val="Heading2"/>
      </w:pPr>
      <w:bookmarkStart w:id="25" w:name="_Toc32474498"/>
      <w:r>
        <w:t xml:space="preserve">Subsidy Scheme </w:t>
      </w:r>
      <w:r w:rsidR="007A5055">
        <w:t>Available S</w:t>
      </w:r>
      <w:r w:rsidR="0097072C">
        <w:t>paces</w:t>
      </w:r>
      <w:bookmarkEnd w:id="25"/>
    </w:p>
    <w:p w14:paraId="5602E8C7" w14:textId="77777777" w:rsidR="0097072C" w:rsidRDefault="0097072C" w:rsidP="0097072C">
      <w:r>
        <w:t xml:space="preserve">Town Hall Hire Subsidy Scheme </w:t>
      </w:r>
      <w:r w:rsidR="00F02038">
        <w:t>supports events within the</w:t>
      </w:r>
      <w:r>
        <w:t xml:space="preserve">: </w:t>
      </w:r>
    </w:p>
    <w:p w14:paraId="48A903F1" w14:textId="77777777" w:rsidR="0097072C" w:rsidRDefault="0097072C" w:rsidP="0097072C">
      <w:pPr>
        <w:pStyle w:val="NormalBullets"/>
      </w:pPr>
      <w:r>
        <w:t>St Kilda Town Hall Auditorium</w:t>
      </w:r>
    </w:p>
    <w:p w14:paraId="52209C80" w14:textId="09037F75" w:rsidR="0097072C" w:rsidRDefault="00DD27D7" w:rsidP="0097072C">
      <w:pPr>
        <w:pStyle w:val="NormalBullets"/>
      </w:pPr>
      <w:r>
        <w:t>Port Melbourne Town Hall Auditorium</w:t>
      </w:r>
      <w:bookmarkStart w:id="26" w:name="_GoBack"/>
      <w:bookmarkEnd w:id="26"/>
    </w:p>
    <w:p w14:paraId="4820AB0C" w14:textId="77777777" w:rsidR="003F2A71" w:rsidRDefault="003F2A71" w:rsidP="003F2A71">
      <w:pPr>
        <w:pStyle w:val="Heading2"/>
      </w:pPr>
      <w:bookmarkStart w:id="27" w:name="_Toc32474499"/>
      <w:r>
        <w:t xml:space="preserve">What does the </w:t>
      </w:r>
      <w:r w:rsidR="00C82065">
        <w:t>Town Hall Hire Subsidy S</w:t>
      </w:r>
      <w:r>
        <w:t>cheme cover?</w:t>
      </w:r>
      <w:bookmarkEnd w:id="27"/>
      <w:r>
        <w:t xml:space="preserve"> </w:t>
      </w:r>
    </w:p>
    <w:p w14:paraId="284ECF51" w14:textId="4A97CBE8" w:rsidR="00F02038" w:rsidRDefault="00CF07E1" w:rsidP="005048D6">
      <w:pPr>
        <w:rPr>
          <w:rFonts w:eastAsiaTheme="minorHAnsi"/>
        </w:rPr>
      </w:pPr>
      <w:r>
        <w:rPr>
          <w:rFonts w:eastAsiaTheme="minorHAnsi"/>
        </w:rPr>
        <w:t>Successful a</w:t>
      </w:r>
      <w:r w:rsidR="005048D6" w:rsidRPr="005048D6">
        <w:rPr>
          <w:rFonts w:eastAsiaTheme="minorHAnsi"/>
        </w:rPr>
        <w:t xml:space="preserve">pplicants may receive </w:t>
      </w:r>
      <w:r w:rsidR="00CE42E2">
        <w:rPr>
          <w:rFonts w:eastAsiaTheme="minorHAnsi"/>
        </w:rPr>
        <w:t xml:space="preserve">a </w:t>
      </w:r>
      <w:r w:rsidR="00F02038">
        <w:rPr>
          <w:rFonts w:eastAsiaTheme="minorHAnsi"/>
        </w:rPr>
        <w:t>full</w:t>
      </w:r>
      <w:r w:rsidR="005048D6" w:rsidRPr="005048D6">
        <w:rPr>
          <w:rFonts w:eastAsiaTheme="minorHAnsi"/>
        </w:rPr>
        <w:t xml:space="preserve"> or </w:t>
      </w:r>
      <w:r w:rsidR="00F02038">
        <w:rPr>
          <w:rFonts w:eastAsiaTheme="minorHAnsi"/>
        </w:rPr>
        <w:t>partial</w:t>
      </w:r>
      <w:r w:rsidR="005048D6" w:rsidRPr="005048D6">
        <w:rPr>
          <w:rFonts w:eastAsiaTheme="minorHAnsi"/>
        </w:rPr>
        <w:t xml:space="preserve"> </w:t>
      </w:r>
      <w:r w:rsidR="00F02038">
        <w:rPr>
          <w:rFonts w:eastAsiaTheme="minorHAnsi"/>
        </w:rPr>
        <w:t xml:space="preserve">subsidy for </w:t>
      </w:r>
      <w:r w:rsidR="00F67026" w:rsidRPr="00F67026">
        <w:rPr>
          <w:rFonts w:eastAsiaTheme="minorHAnsi"/>
          <w:b/>
        </w:rPr>
        <w:t xml:space="preserve">one </w:t>
      </w:r>
      <w:r w:rsidR="00F67026">
        <w:rPr>
          <w:rFonts w:eastAsiaTheme="minorHAnsi"/>
        </w:rPr>
        <w:t>event</w:t>
      </w:r>
      <w:r w:rsidR="00F02038">
        <w:rPr>
          <w:rFonts w:eastAsiaTheme="minorHAnsi"/>
        </w:rPr>
        <w:t xml:space="preserve"> held within the 2020/</w:t>
      </w:r>
      <w:r w:rsidR="005048D6" w:rsidRPr="005048D6">
        <w:rPr>
          <w:rFonts w:eastAsiaTheme="minorHAnsi"/>
        </w:rPr>
        <w:t>202</w:t>
      </w:r>
      <w:r w:rsidR="00F02038">
        <w:rPr>
          <w:rFonts w:eastAsiaTheme="minorHAnsi"/>
        </w:rPr>
        <w:t>1</w:t>
      </w:r>
      <w:r w:rsidR="005048D6" w:rsidRPr="005048D6">
        <w:rPr>
          <w:rFonts w:eastAsiaTheme="minorHAnsi"/>
        </w:rPr>
        <w:t xml:space="preserve"> financial year</w:t>
      </w:r>
      <w:r w:rsidR="00F02038">
        <w:rPr>
          <w:rFonts w:eastAsiaTheme="minorHAnsi"/>
        </w:rPr>
        <w:t xml:space="preserve"> within </w:t>
      </w:r>
      <w:r w:rsidR="00F02038" w:rsidRPr="00F67026">
        <w:rPr>
          <w:rFonts w:eastAsiaTheme="minorHAnsi"/>
          <w:b/>
        </w:rPr>
        <w:t>one</w:t>
      </w:r>
      <w:r w:rsidR="00F02038">
        <w:rPr>
          <w:rFonts w:eastAsiaTheme="minorHAnsi"/>
        </w:rPr>
        <w:t xml:space="preserve"> of town hall auditoriums. </w:t>
      </w:r>
    </w:p>
    <w:p w14:paraId="501A3F20" w14:textId="7F6178D3" w:rsidR="009423F4" w:rsidRDefault="005048D6" w:rsidP="00CE42E2">
      <w:pPr>
        <w:pStyle w:val="NormalBullets"/>
      </w:pPr>
      <w:r w:rsidRPr="00CE42E2">
        <w:t>Full subsidy</w:t>
      </w:r>
      <w:r w:rsidR="00CF07E1" w:rsidRPr="00CE42E2">
        <w:t xml:space="preserve">: </w:t>
      </w:r>
      <w:r w:rsidRPr="00CE42E2">
        <w:t>a total of up to $3500.00 which may cov</w:t>
      </w:r>
      <w:r w:rsidR="009423F4">
        <w:t>er some or all of the following:</w:t>
      </w:r>
    </w:p>
    <w:p w14:paraId="727415BD" w14:textId="5F8540CE" w:rsidR="005048D6" w:rsidRPr="00CE42E2" w:rsidRDefault="005048D6" w:rsidP="009423F4">
      <w:pPr>
        <w:pStyle w:val="NormalBullets"/>
        <w:numPr>
          <w:ilvl w:val="0"/>
          <w:numId w:val="0"/>
        </w:numPr>
        <w:ind w:left="720"/>
      </w:pPr>
      <w:r w:rsidRPr="00CE42E2">
        <w:t>Venue Hire, Kitchen Use, Security and Duty Officer charges.</w:t>
      </w:r>
    </w:p>
    <w:p w14:paraId="6A72E027" w14:textId="77777777" w:rsidR="005048D6" w:rsidRPr="00CE42E2" w:rsidRDefault="005048D6" w:rsidP="00CE42E2">
      <w:pPr>
        <w:pStyle w:val="NormalBullets"/>
      </w:pPr>
      <w:r w:rsidRPr="00CE42E2">
        <w:t xml:space="preserve">Partial </w:t>
      </w:r>
      <w:r w:rsidR="00CF07E1" w:rsidRPr="00CE42E2">
        <w:t>s</w:t>
      </w:r>
      <w:r w:rsidRPr="00CE42E2">
        <w:t>ubsidy</w:t>
      </w:r>
      <w:r w:rsidR="00CF07E1" w:rsidRPr="00CE42E2">
        <w:t>:</w:t>
      </w:r>
      <w:r w:rsidRPr="00CE42E2">
        <w:t xml:space="preserve"> </w:t>
      </w:r>
      <w:r w:rsidR="00216B18" w:rsidRPr="00CE42E2">
        <w:t>c</w:t>
      </w:r>
      <w:r w:rsidRPr="00CE42E2">
        <w:t>overs the cost of Venue Hire only.</w:t>
      </w:r>
    </w:p>
    <w:p w14:paraId="540E38F8" w14:textId="77777777" w:rsidR="005048D6" w:rsidRPr="005048D6" w:rsidRDefault="00CF07E1" w:rsidP="005048D6">
      <w:r>
        <w:rPr>
          <w:rFonts w:eastAsiaTheme="minorHAnsi"/>
          <w:lang w:eastAsia="en-US"/>
        </w:rPr>
        <w:t xml:space="preserve">Any additional </w:t>
      </w:r>
      <w:r w:rsidR="005048D6" w:rsidRPr="005048D6">
        <w:rPr>
          <w:rFonts w:eastAsiaTheme="minorHAnsi"/>
          <w:lang w:eastAsia="en-US"/>
        </w:rPr>
        <w:t xml:space="preserve">costs </w:t>
      </w:r>
      <w:r>
        <w:rPr>
          <w:rFonts w:eastAsiaTheme="minorHAnsi"/>
          <w:lang w:eastAsia="en-US"/>
        </w:rPr>
        <w:t xml:space="preserve">are the responsbility of the </w:t>
      </w:r>
      <w:r w:rsidR="00607A01">
        <w:rPr>
          <w:rFonts w:eastAsiaTheme="minorHAnsi"/>
          <w:lang w:eastAsia="en-US"/>
        </w:rPr>
        <w:t xml:space="preserve">succesful applicant </w:t>
      </w:r>
      <w:r>
        <w:rPr>
          <w:rFonts w:eastAsiaTheme="minorHAnsi"/>
          <w:lang w:eastAsia="en-US"/>
        </w:rPr>
        <w:t>organisation.</w:t>
      </w:r>
    </w:p>
    <w:p w14:paraId="40AC6526" w14:textId="77777777" w:rsidR="006C33BD" w:rsidRDefault="006C33BD" w:rsidP="006C33BD">
      <w:pPr>
        <w:pStyle w:val="Heading2"/>
      </w:pPr>
      <w:bookmarkStart w:id="28" w:name="_Toc32474500"/>
      <w:r>
        <w:t>Application timelines</w:t>
      </w:r>
      <w:bookmarkEnd w:id="28"/>
      <w:r>
        <w:t xml:space="preserve"> </w:t>
      </w:r>
    </w:p>
    <w:p w14:paraId="30B14197" w14:textId="77777777" w:rsidR="00445C6B" w:rsidRDefault="003F2A71" w:rsidP="00445C6B">
      <w:r>
        <w:t xml:space="preserve">Applications to the Town Hall Hire Subsidy Scheme will open </w:t>
      </w:r>
      <w:r w:rsidRPr="006C33BD">
        <w:rPr>
          <w:b/>
        </w:rPr>
        <w:t xml:space="preserve">9am </w:t>
      </w:r>
      <w:r w:rsidR="00CF07E1">
        <w:rPr>
          <w:b/>
        </w:rPr>
        <w:t>Thursday 20</w:t>
      </w:r>
      <w:r w:rsidRPr="006C33BD">
        <w:rPr>
          <w:b/>
        </w:rPr>
        <w:t xml:space="preserve"> </w:t>
      </w:r>
      <w:r w:rsidR="006C33BD" w:rsidRPr="006C33BD">
        <w:rPr>
          <w:b/>
        </w:rPr>
        <w:t>February 20</w:t>
      </w:r>
      <w:r w:rsidR="00CF07E1">
        <w:rPr>
          <w:b/>
        </w:rPr>
        <w:t>20</w:t>
      </w:r>
      <w:r w:rsidRPr="006C33BD">
        <w:t xml:space="preserve"> </w:t>
      </w:r>
      <w:r>
        <w:t>and remain open until the funding allocation is exhausted.</w:t>
      </w:r>
    </w:p>
    <w:p w14:paraId="1B2E0F15" w14:textId="77777777" w:rsidR="00445C6B" w:rsidRDefault="00445C6B">
      <w:pPr>
        <w:tabs>
          <w:tab w:val="clear" w:pos="-3060"/>
          <w:tab w:val="clear" w:pos="-2340"/>
          <w:tab w:val="clear" w:pos="6300"/>
        </w:tabs>
        <w:suppressAutoHyphens w:val="0"/>
        <w:spacing w:after="160" w:line="259" w:lineRule="auto"/>
      </w:pPr>
      <w:r>
        <w:br w:type="page"/>
      </w:r>
    </w:p>
    <w:p w14:paraId="51054835" w14:textId="77777777" w:rsidR="00B25DC7" w:rsidRDefault="00B94BB1" w:rsidP="00772D8B">
      <w:pPr>
        <w:pStyle w:val="Heading1"/>
      </w:pPr>
      <w:bookmarkStart w:id="29" w:name="_Toc32474501"/>
      <w:r>
        <w:lastRenderedPageBreak/>
        <w:t xml:space="preserve">Applying for a </w:t>
      </w:r>
      <w:r w:rsidR="00C82065">
        <w:t>Town Hall Hire Subsidy Scheme</w:t>
      </w:r>
      <w:bookmarkEnd w:id="29"/>
      <w:r w:rsidR="00C82065">
        <w:t xml:space="preserve"> </w:t>
      </w:r>
    </w:p>
    <w:p w14:paraId="52B00034" w14:textId="77777777" w:rsidR="00B25DC7" w:rsidRPr="00D53BB2" w:rsidRDefault="00B25DC7" w:rsidP="00B25DC7">
      <w:pPr>
        <w:pStyle w:val="Heading2"/>
      </w:pPr>
      <w:bookmarkStart w:id="30" w:name="_Toc32474502"/>
      <w:r w:rsidRPr="00D53BB2">
        <w:t>Who is eligible to apply?</w:t>
      </w:r>
      <w:bookmarkEnd w:id="30"/>
    </w:p>
    <w:p w14:paraId="4504BAC2" w14:textId="77777777" w:rsidR="0097582C" w:rsidRPr="00445C6B" w:rsidRDefault="0097582C" w:rsidP="0097582C">
      <w:r w:rsidRPr="00445C6B">
        <w:t xml:space="preserve">To be eligible for subsidy under the </w:t>
      </w:r>
      <w:r w:rsidR="00C82065" w:rsidRPr="00445C6B">
        <w:t xml:space="preserve">Town Hall Hire Subsidy Scheme </w:t>
      </w:r>
      <w:r w:rsidRPr="00445C6B">
        <w:t>applicants must:</w:t>
      </w:r>
    </w:p>
    <w:p w14:paraId="617D8595" w14:textId="77777777" w:rsidR="0097582C" w:rsidRDefault="00445C6B" w:rsidP="0097582C">
      <w:pPr>
        <w:pStyle w:val="NormalBullets"/>
      </w:pPr>
      <w:r>
        <w:t>B</w:t>
      </w:r>
      <w:r w:rsidR="0097582C">
        <w:t>e a not</w:t>
      </w:r>
      <w:r>
        <w:t>-</w:t>
      </w:r>
      <w:r w:rsidR="0097582C">
        <w:t>for</w:t>
      </w:r>
      <w:r>
        <w:t>-</w:t>
      </w:r>
      <w:r w:rsidR="0097582C">
        <w:t>profit community group, organisation, club or school</w:t>
      </w:r>
      <w:r>
        <w:t>.</w:t>
      </w:r>
    </w:p>
    <w:p w14:paraId="277A8E8E" w14:textId="401DA42B" w:rsidR="0097582C" w:rsidRDefault="00445C6B" w:rsidP="0097582C">
      <w:pPr>
        <w:pStyle w:val="NormalBullets"/>
      </w:pPr>
      <w:r>
        <w:t>B</w:t>
      </w:r>
      <w:r w:rsidR="0097582C">
        <w:t>e incorporated under the Associations Incorporation Act</w:t>
      </w:r>
      <w:r>
        <w:t>.</w:t>
      </w:r>
      <w:r w:rsidR="0097582C">
        <w:t xml:space="preserve"> </w:t>
      </w:r>
      <w:r w:rsidR="00216B18">
        <w:t xml:space="preserve"> </w:t>
      </w:r>
    </w:p>
    <w:p w14:paraId="23BBA6DE" w14:textId="13B14B45" w:rsidR="00445C6B" w:rsidRDefault="00445C6B" w:rsidP="00445C6B">
      <w:pPr>
        <w:pStyle w:val="NormalBullets"/>
      </w:pPr>
      <w:r>
        <w:t>H</w:t>
      </w:r>
      <w:r w:rsidR="0097582C">
        <w:t>ave public liability insurance</w:t>
      </w:r>
      <w:r w:rsidR="00F67026">
        <w:t xml:space="preserve"> with a minimum of $20 Million</w:t>
      </w:r>
    </w:p>
    <w:p w14:paraId="70FD5ED9" w14:textId="77777777" w:rsidR="0097582C" w:rsidRDefault="0097582C" w:rsidP="00445C6B">
      <w:pPr>
        <w:pStyle w:val="NormalBullets"/>
        <w:numPr>
          <w:ilvl w:val="0"/>
          <w:numId w:val="0"/>
        </w:numPr>
        <w:ind w:left="720"/>
      </w:pPr>
      <w:r>
        <w:t>OR</w:t>
      </w:r>
    </w:p>
    <w:p w14:paraId="432CA09F" w14:textId="77777777" w:rsidR="0097582C" w:rsidRDefault="00445C6B" w:rsidP="0097582C">
      <w:pPr>
        <w:pStyle w:val="NormalBullets"/>
      </w:pPr>
      <w:r>
        <w:t>I</w:t>
      </w:r>
      <w:r w:rsidR="0097582C">
        <w:t xml:space="preserve">ndividual artists or un-incorporated organisations must be auspiced by an incorporated association </w:t>
      </w:r>
      <w:r>
        <w:t>who are deemed to be not-for-profit</w:t>
      </w:r>
      <w:r w:rsidR="0097582C">
        <w:t xml:space="preserve"> as classified by the Australian Taxation Office (section 103A(2) (c) of the </w:t>
      </w:r>
      <w:r w:rsidR="0097582C" w:rsidRPr="00445C6B">
        <w:t>Income Tax Assessment Act 1936</w:t>
      </w:r>
      <w:r w:rsidR="0097582C">
        <w:t>). Auspice organisations must also have Public Liability Insurance.</w:t>
      </w:r>
    </w:p>
    <w:p w14:paraId="221ABBEB" w14:textId="59DA4CFE" w:rsidR="00445C6B" w:rsidRDefault="009165F6" w:rsidP="007F6A76">
      <w:pPr>
        <w:pStyle w:val="NormalBullets"/>
      </w:pPr>
      <w:r>
        <w:t>Have complied with all Terms and Conditions including the submission of a</w:t>
      </w:r>
      <w:r w:rsidR="0097582C">
        <w:t xml:space="preserve"> </w:t>
      </w:r>
      <w:r>
        <w:t xml:space="preserve">satisfactory </w:t>
      </w:r>
      <w:r w:rsidR="0097582C">
        <w:t>acquittal reports for all previous City of Port Phillip Grants (where applicable).</w:t>
      </w:r>
      <w:bookmarkStart w:id="31" w:name="_Toc32474503"/>
      <w:r w:rsidR="00171DC1">
        <w:t xml:space="preserve">  </w:t>
      </w:r>
      <w:hyperlink w:anchor="_Appendix_B_-" w:history="1">
        <w:r w:rsidR="00171DC1" w:rsidRPr="00171DC1">
          <w:rPr>
            <w:rStyle w:val="Hyperlink"/>
          </w:rPr>
          <w:t>Refer to Appendix B</w:t>
        </w:r>
      </w:hyperlink>
      <w:r w:rsidR="00171DC1">
        <w:t>.</w:t>
      </w:r>
    </w:p>
    <w:p w14:paraId="76A7FD23" w14:textId="77777777" w:rsidR="00077E95" w:rsidRPr="00445C6B" w:rsidRDefault="00B25DC7" w:rsidP="00445C6B">
      <w:pPr>
        <w:pStyle w:val="NormalBullets"/>
        <w:numPr>
          <w:ilvl w:val="0"/>
          <w:numId w:val="0"/>
        </w:numPr>
      </w:pPr>
      <w:r w:rsidRPr="00445C6B">
        <w:t xml:space="preserve">What is not eligible for </w:t>
      </w:r>
      <w:r w:rsidR="00216B18" w:rsidRPr="00445C6B">
        <w:t>subsidy</w:t>
      </w:r>
      <w:r w:rsidRPr="00445C6B">
        <w:t>? (Exclusions)</w:t>
      </w:r>
      <w:bookmarkEnd w:id="31"/>
      <w:r w:rsidR="00445C6B" w:rsidRPr="00445C6B">
        <w:t xml:space="preserve"> </w:t>
      </w:r>
      <w:r w:rsidR="00077E95" w:rsidRPr="00445C6B">
        <w:rPr>
          <w:rFonts w:eastAsiaTheme="minorHAnsi"/>
        </w:rPr>
        <w:t>Town Hall Subsidy will not be considered for:</w:t>
      </w:r>
    </w:p>
    <w:p w14:paraId="25A70E98" w14:textId="77777777" w:rsidR="00077E95" w:rsidRPr="00077E95" w:rsidRDefault="00077E95" w:rsidP="00077E95">
      <w:pPr>
        <w:pStyle w:val="NormalBullets"/>
      </w:pPr>
      <w:r w:rsidRPr="00077E95">
        <w:t>Ongoing or recurring meetings</w:t>
      </w:r>
      <w:r w:rsidR="00445C6B">
        <w:t>.</w:t>
      </w:r>
    </w:p>
    <w:p w14:paraId="14E79FD5" w14:textId="77777777" w:rsidR="00077E95" w:rsidRPr="00077E95" w:rsidRDefault="00077E95" w:rsidP="00077E95">
      <w:pPr>
        <w:pStyle w:val="NormalBullets"/>
      </w:pPr>
      <w:r w:rsidRPr="00077E95">
        <w:t>Commercial events and/or organisations</w:t>
      </w:r>
      <w:r w:rsidR="00445C6B">
        <w:t>.</w:t>
      </w:r>
    </w:p>
    <w:p w14:paraId="14EB7437" w14:textId="77777777" w:rsidR="00077E95" w:rsidRPr="00077E95" w:rsidRDefault="00077E95" w:rsidP="00077E95">
      <w:pPr>
        <w:pStyle w:val="NormalBullets"/>
      </w:pPr>
      <w:r w:rsidRPr="00077E95">
        <w:t>Events that have already occurred</w:t>
      </w:r>
      <w:r w:rsidR="00445C6B">
        <w:t>.</w:t>
      </w:r>
    </w:p>
    <w:p w14:paraId="27D6208C" w14:textId="70DA433B" w:rsidR="00077E95" w:rsidRPr="00216B18" w:rsidRDefault="00077E95" w:rsidP="00077E95">
      <w:pPr>
        <w:pStyle w:val="NormalBullets"/>
      </w:pPr>
      <w:r w:rsidRPr="00216B18">
        <w:t xml:space="preserve">Events that </w:t>
      </w:r>
      <w:r w:rsidR="00216B18" w:rsidRPr="00216B18">
        <w:t xml:space="preserve">have already paid a </w:t>
      </w:r>
      <w:r w:rsidRPr="00216B18">
        <w:t>security bond</w:t>
      </w:r>
      <w:r w:rsidR="00D33A25">
        <w:t xml:space="preserve"> and secured a date</w:t>
      </w:r>
      <w:r w:rsidR="00216B18" w:rsidRPr="00216B18">
        <w:t>.</w:t>
      </w:r>
    </w:p>
    <w:p w14:paraId="5CAB6809" w14:textId="77777777" w:rsidR="00077E95" w:rsidRPr="00E4259B" w:rsidRDefault="00077E95" w:rsidP="00077E95">
      <w:pPr>
        <w:pStyle w:val="NormalBullets"/>
      </w:pPr>
      <w:r w:rsidRPr="00077E95">
        <w:t>Organisations with outstanding acquittals or debts ow</w:t>
      </w:r>
      <w:r>
        <w:rPr>
          <w:rFonts w:eastAsiaTheme="minorHAnsi"/>
        </w:rPr>
        <w:t>ing to the City of Port Phillip.</w:t>
      </w:r>
    </w:p>
    <w:p w14:paraId="36C2FE8E" w14:textId="77777777" w:rsidR="00E4259B" w:rsidRPr="00077E95" w:rsidRDefault="00E4259B" w:rsidP="00077E95">
      <w:pPr>
        <w:pStyle w:val="NormalBullets"/>
      </w:pPr>
      <w:r>
        <w:rPr>
          <w:rFonts w:eastAsiaTheme="minorHAnsi"/>
        </w:rPr>
        <w:t>Organisations that have already been successful for a subsidy application within the same financial year.</w:t>
      </w:r>
    </w:p>
    <w:p w14:paraId="71AC6CE4" w14:textId="77777777" w:rsidR="00077E95" w:rsidRPr="007A1518" w:rsidRDefault="00077E95" w:rsidP="00077E95">
      <w:pPr>
        <w:rPr>
          <w:rFonts w:eastAsiaTheme="minorHAnsi"/>
          <w:lang w:eastAsia="en-US"/>
        </w:rPr>
      </w:pPr>
      <w:bookmarkStart w:id="32" w:name="_Hlk32572879"/>
      <w:r w:rsidRPr="007A1518">
        <w:rPr>
          <w:rFonts w:eastAsiaTheme="minorHAnsi"/>
          <w:b/>
          <w:lang w:eastAsia="en-US"/>
        </w:rPr>
        <w:t>Important note:</w:t>
      </w:r>
      <w:r w:rsidRPr="007A1518">
        <w:rPr>
          <w:rFonts w:eastAsiaTheme="minorHAnsi"/>
          <w:lang w:eastAsia="en-US"/>
        </w:rPr>
        <w:t xml:space="preserve"> Booking requests that are considered as relating to activities of a</w:t>
      </w:r>
      <w:r w:rsidR="001637AB" w:rsidRPr="007A1518">
        <w:rPr>
          <w:rFonts w:eastAsiaTheme="minorHAnsi"/>
          <w:lang w:eastAsia="en-US"/>
        </w:rPr>
        <w:t xml:space="preserve"> </w:t>
      </w:r>
      <w:r w:rsidRPr="007A1518">
        <w:rPr>
          <w:rFonts w:eastAsiaTheme="minorHAnsi"/>
          <w:lang w:eastAsia="en-US"/>
        </w:rPr>
        <w:t>political nature (bipartisan or otherwise), or that are submitted by political parties or groups associated with political parties, will be referred to the Office of the CEO for assessment to ensure the request does not provide implications for Council against its Code of Conduct and/or associated policies</w:t>
      </w:r>
      <w:r w:rsidR="000B21BE" w:rsidRPr="007A1518">
        <w:rPr>
          <w:rFonts w:eastAsiaTheme="minorHAnsi"/>
          <w:lang w:eastAsia="en-US"/>
        </w:rPr>
        <w:t xml:space="preserve">. </w:t>
      </w:r>
    </w:p>
    <w:bookmarkEnd w:id="32"/>
    <w:p w14:paraId="7EDA68D3" w14:textId="77777777" w:rsidR="0097582C" w:rsidRPr="007A5055" w:rsidRDefault="0097582C" w:rsidP="00077E95">
      <w:pPr>
        <w:rPr>
          <w:color w:val="auto"/>
        </w:rPr>
      </w:pPr>
      <w:r w:rsidRPr="007A1518">
        <w:rPr>
          <w:color w:val="auto"/>
        </w:rPr>
        <w:t>Applican</w:t>
      </w:r>
      <w:r w:rsidR="00C82065" w:rsidRPr="007A1518">
        <w:rPr>
          <w:color w:val="auto"/>
        </w:rPr>
        <w:t>ts can not apply for Town Hall venue h</w:t>
      </w:r>
      <w:r w:rsidRPr="007A1518">
        <w:rPr>
          <w:color w:val="auto"/>
        </w:rPr>
        <w:t xml:space="preserve">ire </w:t>
      </w:r>
      <w:r w:rsidR="007A5055" w:rsidRPr="007A1518">
        <w:rPr>
          <w:color w:val="auto"/>
        </w:rPr>
        <w:t xml:space="preserve">costs </w:t>
      </w:r>
      <w:r w:rsidRPr="007A1518">
        <w:rPr>
          <w:color w:val="auto"/>
        </w:rPr>
        <w:t>under any other City of Port Phillip Grants program for the same event.</w:t>
      </w:r>
      <w:r w:rsidRPr="007A5055">
        <w:rPr>
          <w:color w:val="auto"/>
        </w:rPr>
        <w:t xml:space="preserve"> </w:t>
      </w:r>
    </w:p>
    <w:p w14:paraId="1BF46C8D" w14:textId="77777777" w:rsidR="00B25DC7" w:rsidRDefault="00216B18" w:rsidP="00B25DC7">
      <w:pPr>
        <w:pStyle w:val="Heading2"/>
      </w:pPr>
      <w:bookmarkStart w:id="33" w:name="_Toc530989675"/>
      <w:bookmarkStart w:id="34" w:name="_Toc535314293"/>
      <w:bookmarkStart w:id="35" w:name="_Toc32474504"/>
      <w:r>
        <w:t>Submitting your application</w:t>
      </w:r>
      <w:bookmarkEnd w:id="33"/>
      <w:bookmarkEnd w:id="34"/>
      <w:bookmarkEnd w:id="35"/>
      <w:r w:rsidR="00B25DC7">
        <w:t xml:space="preserve"> </w:t>
      </w:r>
    </w:p>
    <w:p w14:paraId="0AF5277B" w14:textId="77777777" w:rsidR="00216B18" w:rsidRDefault="00B25DC7" w:rsidP="00B25DC7">
      <w:r w:rsidRPr="002E0222">
        <w:t>City of Port Phillip uses SmartyGrants</w:t>
      </w:r>
      <w:r w:rsidR="00216B18">
        <w:t xml:space="preserve"> an online grant application service</w:t>
      </w:r>
    </w:p>
    <w:p w14:paraId="79F84D62" w14:textId="77777777" w:rsidR="00216B18" w:rsidRPr="00A21B3B" w:rsidRDefault="00DD27D7" w:rsidP="00E51667">
      <w:pPr>
        <w:pStyle w:val="ListParagraph"/>
        <w:numPr>
          <w:ilvl w:val="0"/>
          <w:numId w:val="24"/>
        </w:numPr>
      </w:pPr>
      <w:hyperlink r:id="rId17" w:history="1">
        <w:r w:rsidR="00865BF8" w:rsidRPr="00A21B3B">
          <w:rPr>
            <w:rStyle w:val="Hyperlink"/>
          </w:rPr>
          <w:t>SmartyGrants Registration Page</w:t>
        </w:r>
      </w:hyperlink>
      <w:r w:rsidR="00216B18" w:rsidRPr="00A21B3B">
        <w:t xml:space="preserve"> :</w:t>
      </w:r>
      <w:hyperlink r:id="rId18" w:history="1">
        <w:r w:rsidR="00216B18" w:rsidRPr="00A21B3B">
          <w:rPr>
            <w:rStyle w:val="Hyperlink"/>
          </w:rPr>
          <w:t>https://portphillip.smartygrants.com.au/</w:t>
        </w:r>
      </w:hyperlink>
    </w:p>
    <w:p w14:paraId="45BD8F2E" w14:textId="77777777" w:rsidR="00216B18" w:rsidRPr="00A21B3B" w:rsidRDefault="00DD27D7" w:rsidP="00216B18">
      <w:pPr>
        <w:pStyle w:val="ListParagraph"/>
        <w:numPr>
          <w:ilvl w:val="0"/>
          <w:numId w:val="24"/>
        </w:numPr>
      </w:pPr>
      <w:hyperlink r:id="rId19" w:tgtFrame="_blank" w:history="1">
        <w:r w:rsidR="00B25DC7" w:rsidRPr="00A21B3B">
          <w:rPr>
            <w:rStyle w:val="Hyperlink"/>
            <w:color w:val="3777BC"/>
            <w:bdr w:val="none" w:sz="0" w:space="0" w:color="auto" w:frame="1"/>
          </w:rPr>
          <w:t>Help Guide for Applicants</w:t>
        </w:r>
      </w:hyperlink>
      <w:r w:rsidR="00B25DC7" w:rsidRPr="00A21B3B">
        <w:t> </w:t>
      </w:r>
      <w:hyperlink r:id="rId20" w:history="1">
        <w:r w:rsidR="00216B18" w:rsidRPr="00A21B3B">
          <w:rPr>
            <w:rStyle w:val="Hyperlink"/>
          </w:rPr>
          <w:t>https://applicanthelp.smartygrants.com.au/help-guide-for-applicants/</w:t>
        </w:r>
      </w:hyperlink>
      <w:r w:rsidR="00216B18" w:rsidRPr="00A21B3B">
        <w:t xml:space="preserve"> </w:t>
      </w:r>
    </w:p>
    <w:p w14:paraId="142AA4D1" w14:textId="77777777" w:rsidR="00E51667" w:rsidRPr="00A21B3B" w:rsidRDefault="00DD27D7" w:rsidP="00216B18">
      <w:pPr>
        <w:pStyle w:val="ListParagraph"/>
        <w:numPr>
          <w:ilvl w:val="0"/>
          <w:numId w:val="24"/>
        </w:numPr>
      </w:pPr>
      <w:hyperlink r:id="rId21" w:tgtFrame="_blank" w:history="1">
        <w:r w:rsidR="00B25DC7" w:rsidRPr="00A21B3B">
          <w:rPr>
            <w:rStyle w:val="Hyperlink"/>
            <w:color w:val="3777BC"/>
            <w:bdr w:val="none" w:sz="0" w:space="0" w:color="auto" w:frame="1"/>
          </w:rPr>
          <w:t>Applicant Frequently Asked Questions (FAQ's)</w:t>
        </w:r>
      </w:hyperlink>
      <w:bookmarkStart w:id="36" w:name="_Toc535314298"/>
      <w:r w:rsidR="00216B18" w:rsidRPr="00A21B3B">
        <w:t xml:space="preserve"> </w:t>
      </w:r>
      <w:hyperlink r:id="rId22" w:history="1">
        <w:r w:rsidR="00216B18" w:rsidRPr="00A21B3B">
          <w:rPr>
            <w:rStyle w:val="Hyperlink"/>
          </w:rPr>
          <w:t>https://applicanthelp.smartygrants.com.au/applicant-faq's/</w:t>
        </w:r>
      </w:hyperlink>
      <w:r w:rsidR="00216B18" w:rsidRPr="00A21B3B">
        <w:t xml:space="preserve"> </w:t>
      </w:r>
    </w:p>
    <w:p w14:paraId="430195E1" w14:textId="77CA4E73" w:rsidR="00445C6B" w:rsidRDefault="00A21B3B" w:rsidP="00A21B3B">
      <w:pPr>
        <w:rPr>
          <w:rStyle w:val="Hyperlink"/>
          <w:color w:val="000000" w:themeColor="text1"/>
          <w:u w:val="none"/>
        </w:rPr>
      </w:pPr>
      <w:r>
        <w:rPr>
          <w:rStyle w:val="Hyperlink"/>
          <w:color w:val="000000" w:themeColor="text1"/>
          <w:u w:val="none"/>
        </w:rPr>
        <w:t xml:space="preserve">If you require assistance to complete you online application, </w:t>
      </w:r>
      <w:r w:rsidR="00445C6B">
        <w:rPr>
          <w:rStyle w:val="Hyperlink"/>
          <w:color w:val="000000" w:themeColor="text1"/>
          <w:u w:val="none"/>
        </w:rPr>
        <w:t>C</w:t>
      </w:r>
      <w:r>
        <w:rPr>
          <w:rStyle w:val="Hyperlink"/>
          <w:color w:val="000000" w:themeColor="text1"/>
          <w:u w:val="none"/>
        </w:rPr>
        <w:t xml:space="preserve">ontact </w:t>
      </w:r>
      <w:r w:rsidR="00D33A25">
        <w:rPr>
          <w:rStyle w:val="Hyperlink"/>
          <w:color w:val="000000" w:themeColor="text1"/>
          <w:u w:val="none"/>
        </w:rPr>
        <w:t xml:space="preserve">the </w:t>
      </w:r>
      <w:r>
        <w:rPr>
          <w:rStyle w:val="Hyperlink"/>
          <w:color w:val="000000" w:themeColor="text1"/>
          <w:u w:val="none"/>
        </w:rPr>
        <w:t>Community Grants and Funding Officer, on phone: 03 9209 6</w:t>
      </w:r>
      <w:r w:rsidR="00445C6B">
        <w:rPr>
          <w:rStyle w:val="Hyperlink"/>
          <w:color w:val="000000" w:themeColor="text1"/>
          <w:u w:val="none"/>
        </w:rPr>
        <w:t>162</w:t>
      </w:r>
      <w:r>
        <w:rPr>
          <w:rStyle w:val="Hyperlink"/>
          <w:color w:val="000000" w:themeColor="text1"/>
          <w:u w:val="none"/>
        </w:rPr>
        <w:t xml:space="preserve"> or email </w:t>
      </w:r>
      <w:hyperlink r:id="rId23" w:history="1">
        <w:r w:rsidRPr="005119D3">
          <w:rPr>
            <w:rStyle w:val="Hyperlink"/>
          </w:rPr>
          <w:t>grants@portphillip.vic.gov.au</w:t>
        </w:r>
      </w:hyperlink>
      <w:r>
        <w:rPr>
          <w:rStyle w:val="Hyperlink"/>
          <w:color w:val="000000" w:themeColor="text1"/>
          <w:u w:val="none"/>
        </w:rPr>
        <w:t xml:space="preserve"> </w:t>
      </w:r>
    </w:p>
    <w:p w14:paraId="2EDFBC2B" w14:textId="77777777" w:rsidR="00445C6B" w:rsidRDefault="00445C6B">
      <w:pPr>
        <w:tabs>
          <w:tab w:val="clear" w:pos="-3060"/>
          <w:tab w:val="clear" w:pos="-2340"/>
          <w:tab w:val="clear" w:pos="6300"/>
        </w:tabs>
        <w:suppressAutoHyphens w:val="0"/>
        <w:spacing w:after="160" w:line="259" w:lineRule="auto"/>
        <w:rPr>
          <w:rStyle w:val="Hyperlink"/>
          <w:color w:val="000000" w:themeColor="text1"/>
          <w:u w:val="none"/>
        </w:rPr>
      </w:pPr>
      <w:r>
        <w:rPr>
          <w:rStyle w:val="Hyperlink"/>
          <w:color w:val="000000" w:themeColor="text1"/>
          <w:u w:val="none"/>
        </w:rPr>
        <w:br w:type="page"/>
      </w:r>
    </w:p>
    <w:p w14:paraId="584298E2" w14:textId="77777777" w:rsidR="00605AA9" w:rsidRDefault="00605AA9" w:rsidP="00731936">
      <w:pPr>
        <w:pStyle w:val="Heading2"/>
      </w:pPr>
      <w:bookmarkStart w:id="37" w:name="_Toc535314299"/>
      <w:bookmarkStart w:id="38" w:name="_Toc32474505"/>
      <w:bookmarkEnd w:id="36"/>
      <w:r>
        <w:lastRenderedPageBreak/>
        <w:t>D</w:t>
      </w:r>
      <w:r w:rsidR="005B7427">
        <w:t>o</w:t>
      </w:r>
      <w:r>
        <w:t>cumentation required</w:t>
      </w:r>
      <w:bookmarkEnd w:id="37"/>
      <w:bookmarkEnd w:id="38"/>
    </w:p>
    <w:p w14:paraId="0DEFF916" w14:textId="77777777" w:rsidR="0054216C" w:rsidRDefault="00BA112C" w:rsidP="00AC10A2">
      <w:pPr>
        <w:rPr>
          <w:noProof w:val="0"/>
          <w:color w:val="000000"/>
        </w:rPr>
      </w:pPr>
      <w:r>
        <w:t xml:space="preserve">The following documentation is required when applying for the </w:t>
      </w:r>
      <w:r w:rsidR="00115434">
        <w:t xml:space="preserve">Town Hall Subsidy. </w:t>
      </w:r>
    </w:p>
    <w:p w14:paraId="4A337272" w14:textId="77777777" w:rsidR="0054216C" w:rsidRDefault="0054216C" w:rsidP="002D5C65">
      <w:pPr>
        <w:pStyle w:val="Heading3"/>
        <w:rPr>
          <w:sz w:val="28"/>
        </w:rPr>
      </w:pPr>
      <w:bookmarkStart w:id="39" w:name="_Toc518482080"/>
      <w:bookmarkStart w:id="40" w:name="_Toc530492605"/>
      <w:bookmarkStart w:id="41" w:name="_Toc530744184"/>
      <w:bookmarkStart w:id="42" w:name="_Toc530989681"/>
      <w:bookmarkStart w:id="43" w:name="_Toc535314300"/>
      <w:bookmarkStart w:id="44" w:name="_Toc536189386"/>
      <w:bookmarkStart w:id="45" w:name="_Toc32474506"/>
      <w:r>
        <w:t>Certificate of Currency for Public and Products Liability Insurance</w:t>
      </w:r>
      <w:bookmarkEnd w:id="39"/>
      <w:bookmarkEnd w:id="40"/>
      <w:bookmarkEnd w:id="41"/>
      <w:bookmarkEnd w:id="42"/>
      <w:bookmarkEnd w:id="43"/>
      <w:bookmarkEnd w:id="44"/>
      <w:bookmarkEnd w:id="45"/>
    </w:p>
    <w:p w14:paraId="32BA54C2" w14:textId="3E6947DE" w:rsidR="00455307" w:rsidRPr="00392632" w:rsidRDefault="00B5341C" w:rsidP="00AC10A2">
      <w:r>
        <w:t xml:space="preserve">City of Port Phillip </w:t>
      </w:r>
      <w:r w:rsidR="0054216C">
        <w:t>requires applicants to hold current Public and Products Liability Insurance</w:t>
      </w:r>
      <w:r w:rsidR="00D33A25">
        <w:t xml:space="preserve"> to a minimum of $20 Million</w:t>
      </w:r>
      <w:r w:rsidR="0054216C">
        <w:t xml:space="preserve"> to protect themselves against legal liability for third parties injury, death and/or damage to property caused by an occurrence in connection with the applicant’s activities. This is proven by providing a valid Certificate of Currency </w:t>
      </w:r>
      <w:r w:rsidR="00392632">
        <w:t>for Public Liability Insurance.</w:t>
      </w:r>
    </w:p>
    <w:p w14:paraId="31526C0C" w14:textId="3F17EBE2" w:rsidR="0054216C" w:rsidRPr="00A21B3B" w:rsidRDefault="0054216C" w:rsidP="00AC10A2">
      <w:r w:rsidRPr="00A21B3B">
        <w:t xml:space="preserve">If you do </w:t>
      </w:r>
      <w:r w:rsidRPr="00A21B3B">
        <w:rPr>
          <w:u w:val="single"/>
        </w:rPr>
        <w:t>not</w:t>
      </w:r>
      <w:r w:rsidRPr="00A21B3B">
        <w:t xml:space="preserve"> hold current Public Liability Insurance</w:t>
      </w:r>
      <w:r w:rsidR="00866E0F">
        <w:t xml:space="preserve"> to cover the event date, please</w:t>
      </w:r>
      <w:r w:rsidRPr="00A21B3B">
        <w:t>:</w:t>
      </w:r>
    </w:p>
    <w:p w14:paraId="480F7319" w14:textId="32C565F6" w:rsidR="00866E0F" w:rsidRPr="007A1518" w:rsidRDefault="00866E0F" w:rsidP="00EF28A3">
      <w:pPr>
        <w:pStyle w:val="ListParagraph"/>
        <w:numPr>
          <w:ilvl w:val="0"/>
          <w:numId w:val="9"/>
        </w:numPr>
      </w:pPr>
      <w:r w:rsidRPr="007A1518">
        <w:t>Submit your</w:t>
      </w:r>
      <w:r w:rsidR="0054216C" w:rsidRPr="007A1518">
        <w:t xml:space="preserve"> current Public Liability Insurance</w:t>
      </w:r>
      <w:r w:rsidR="007A1518">
        <w:t xml:space="preserve"> with the application</w:t>
      </w:r>
    </w:p>
    <w:p w14:paraId="527029A9" w14:textId="63AB4AD5" w:rsidR="00866E0F" w:rsidRPr="007A1518" w:rsidRDefault="00866E0F" w:rsidP="00EF28A3">
      <w:pPr>
        <w:pStyle w:val="ListParagraph"/>
        <w:numPr>
          <w:ilvl w:val="0"/>
          <w:numId w:val="9"/>
        </w:numPr>
      </w:pPr>
      <w:r>
        <w:t>I</w:t>
      </w:r>
      <w:r w:rsidRPr="00AF5605">
        <w:t>f the Town Hall Subsidy application is successful</w:t>
      </w:r>
      <w:r>
        <w:t>, you will</w:t>
      </w:r>
      <w:r w:rsidRPr="007A1518">
        <w:t xml:space="preserve"> be r</w:t>
      </w:r>
      <w:r>
        <w:t>e</w:t>
      </w:r>
      <w:r w:rsidRPr="007A1518">
        <w:t xml:space="preserve">quired to resubmit the updated Public Liability Insurance (that covers the event date) </w:t>
      </w:r>
      <w:r w:rsidRPr="007A1518">
        <w:rPr>
          <w:b/>
        </w:rPr>
        <w:t>3 months prior</w:t>
      </w:r>
      <w:r w:rsidRPr="007A1518">
        <w:t xml:space="preserve"> to the event date</w:t>
      </w:r>
    </w:p>
    <w:p w14:paraId="65374FCF" w14:textId="03F8D39D" w:rsidR="009423F4" w:rsidRDefault="00866E0F" w:rsidP="007A1518">
      <w:r w:rsidRPr="00A21B3B">
        <w:t xml:space="preserve">If you </w:t>
      </w:r>
      <w:r w:rsidR="007A1518">
        <w:t xml:space="preserve">are applying through an auspice organisation, </w:t>
      </w:r>
      <w:r w:rsidR="009423F4">
        <w:t>please:</w:t>
      </w:r>
    </w:p>
    <w:p w14:paraId="1ED6264F" w14:textId="6F44BAC9" w:rsidR="007A1518" w:rsidRDefault="009423F4" w:rsidP="009423F4">
      <w:pPr>
        <w:pStyle w:val="ListParagraph"/>
        <w:numPr>
          <w:ilvl w:val="0"/>
          <w:numId w:val="27"/>
        </w:numPr>
      </w:pPr>
      <w:r>
        <w:t xml:space="preserve">Submit the Auspice Organisation’s </w:t>
      </w:r>
      <w:r w:rsidR="007A1518" w:rsidRPr="00A21B3B">
        <w:t>Public Liability Insurance</w:t>
      </w:r>
      <w:r>
        <w:t xml:space="preserve">.  </w:t>
      </w:r>
    </w:p>
    <w:p w14:paraId="48581CEB" w14:textId="07F02E58" w:rsidR="009423F4" w:rsidRPr="007A1518" w:rsidRDefault="009423F4" w:rsidP="009423F4">
      <w:pPr>
        <w:pStyle w:val="ListParagraph"/>
        <w:numPr>
          <w:ilvl w:val="0"/>
          <w:numId w:val="27"/>
        </w:numPr>
      </w:pPr>
      <w:r>
        <w:t>I</w:t>
      </w:r>
      <w:r w:rsidRPr="00AF5605">
        <w:t>f the Town Hall Subsidy application is successful</w:t>
      </w:r>
      <w:r>
        <w:t xml:space="preserve"> and the Auspice Organisation’s </w:t>
      </w:r>
      <w:r w:rsidRPr="00A21B3B">
        <w:t>Public Liability Insurance</w:t>
      </w:r>
      <w:r>
        <w:t xml:space="preserve"> does </w:t>
      </w:r>
      <w:r w:rsidRPr="009423F4">
        <w:rPr>
          <w:u w:val="single"/>
        </w:rPr>
        <w:t>not</w:t>
      </w:r>
      <w:r>
        <w:t xml:space="preserve"> cover the event date, you will</w:t>
      </w:r>
      <w:r w:rsidRPr="007A1518">
        <w:t xml:space="preserve"> be r</w:t>
      </w:r>
      <w:r>
        <w:t>e</w:t>
      </w:r>
      <w:r w:rsidRPr="007A1518">
        <w:t xml:space="preserve">quired to resubmit the </w:t>
      </w:r>
      <w:r>
        <w:t xml:space="preserve">Auspice Organisation’s </w:t>
      </w:r>
      <w:r w:rsidRPr="007A1518">
        <w:t xml:space="preserve">updated Public Liability Insurance (that covers the event date) </w:t>
      </w:r>
      <w:r w:rsidRPr="007A1518">
        <w:rPr>
          <w:b/>
        </w:rPr>
        <w:t>3 months prior</w:t>
      </w:r>
      <w:r w:rsidRPr="007A1518">
        <w:t xml:space="preserve"> to the event date</w:t>
      </w:r>
    </w:p>
    <w:p w14:paraId="574DD9A0" w14:textId="77777777" w:rsidR="0054216C" w:rsidRPr="00B5341C" w:rsidRDefault="00B5341C" w:rsidP="002D5C65">
      <w:pPr>
        <w:pStyle w:val="Heading3"/>
      </w:pPr>
      <w:bookmarkStart w:id="46" w:name="_Toc518482081"/>
      <w:bookmarkStart w:id="47" w:name="_Toc530744185"/>
      <w:bookmarkStart w:id="48" w:name="_Toc530989682"/>
      <w:bookmarkStart w:id="49" w:name="_Toc535314301"/>
      <w:bookmarkStart w:id="50" w:name="_Toc536189387"/>
      <w:bookmarkStart w:id="51" w:name="_Toc32474507"/>
      <w:r>
        <w:t>Incorp</w:t>
      </w:r>
      <w:r w:rsidR="008A3E3E">
        <w:t>o</w:t>
      </w:r>
      <w:r w:rsidR="0054216C">
        <w:t>ration</w:t>
      </w:r>
      <w:bookmarkEnd w:id="46"/>
      <w:bookmarkEnd w:id="47"/>
      <w:bookmarkEnd w:id="48"/>
      <w:bookmarkEnd w:id="49"/>
      <w:bookmarkEnd w:id="50"/>
      <w:bookmarkEnd w:id="51"/>
      <w:r w:rsidR="0054216C">
        <w:t xml:space="preserve"> </w:t>
      </w:r>
    </w:p>
    <w:p w14:paraId="60A2A3CB" w14:textId="77777777" w:rsidR="0054216C" w:rsidRPr="0054216C" w:rsidRDefault="0054216C" w:rsidP="00AC10A2">
      <w:pPr>
        <w:rPr>
          <w:color w:val="5B9BD5" w:themeColor="accent1"/>
          <w:sz w:val="28"/>
          <w:szCs w:val="28"/>
          <w:lang w:eastAsia="en-US"/>
        </w:rPr>
      </w:pPr>
      <w:r>
        <w:t xml:space="preserve">Applicants for funding must be incorporated or hold another legal entity status. Incorporation is the most common way to provide a community group status as a legal entity. </w:t>
      </w:r>
    </w:p>
    <w:p w14:paraId="5A728653" w14:textId="77777777" w:rsidR="0054216C" w:rsidRDefault="0054216C" w:rsidP="00AC10A2">
      <w:r>
        <w:t>If you are not incorporated and would like to become incorporated, you may contact the Office of Consumer Affairs Victoria on 1300 558 181 or visit</w:t>
      </w:r>
      <w:r w:rsidR="00B104A2">
        <w:t xml:space="preserve"> </w:t>
      </w:r>
      <w:hyperlink r:id="rId24" w:history="1">
        <w:r w:rsidR="00B104A2" w:rsidRPr="00B104A2">
          <w:rPr>
            <w:rStyle w:val="Hyperlink"/>
          </w:rPr>
          <w:t xml:space="preserve">Consumers Affairs website </w:t>
        </w:r>
      </w:hyperlink>
      <w:r w:rsidR="00B104A2">
        <w:rPr>
          <w:rStyle w:val="FootnoteReference"/>
        </w:rPr>
        <w:footnoteReference w:id="3"/>
      </w:r>
      <w:r>
        <w:t xml:space="preserve"> </w:t>
      </w:r>
    </w:p>
    <w:p w14:paraId="76980759" w14:textId="77777777" w:rsidR="0054216C" w:rsidRDefault="0054216C" w:rsidP="00AC10A2">
      <w:r>
        <w:t xml:space="preserve">If your group is not incorporated and does not wish or is unable to become incorporated, you may apply through an </w:t>
      </w:r>
      <w:r w:rsidRPr="00A21B3B">
        <w:t>auspice organisation</w:t>
      </w:r>
      <w:r>
        <w:t xml:space="preserve"> (further details below).</w:t>
      </w:r>
    </w:p>
    <w:p w14:paraId="415EE26F" w14:textId="77777777" w:rsidR="0054216C" w:rsidRDefault="0054216C" w:rsidP="002D5C65">
      <w:pPr>
        <w:pStyle w:val="Heading3"/>
        <w:rPr>
          <w:sz w:val="28"/>
        </w:rPr>
      </w:pPr>
      <w:bookmarkStart w:id="52" w:name="_Toc518482082"/>
      <w:bookmarkStart w:id="53" w:name="_Toc530744186"/>
      <w:bookmarkStart w:id="54" w:name="_Toc530989683"/>
      <w:bookmarkStart w:id="55" w:name="_Toc535314302"/>
      <w:bookmarkStart w:id="56" w:name="_Toc536189388"/>
      <w:bookmarkStart w:id="57" w:name="_Toc32474508"/>
      <w:r>
        <w:t>Auspice organisation</w:t>
      </w:r>
      <w:bookmarkEnd w:id="52"/>
      <w:bookmarkEnd w:id="53"/>
      <w:bookmarkEnd w:id="54"/>
      <w:bookmarkEnd w:id="55"/>
      <w:bookmarkEnd w:id="56"/>
      <w:bookmarkEnd w:id="57"/>
    </w:p>
    <w:p w14:paraId="702194F6" w14:textId="77777777" w:rsidR="0054216C" w:rsidRPr="00AC10A2" w:rsidRDefault="0054216C" w:rsidP="00AC10A2">
      <w:r w:rsidRPr="00AC10A2">
        <w:t xml:space="preserve">If your group is not incorporated or does not hold current public and products liability insurance, you may still apply through an auspice organisation. </w:t>
      </w:r>
    </w:p>
    <w:p w14:paraId="535C9CFF" w14:textId="77777777" w:rsidR="0054216C" w:rsidRPr="00AC10A2" w:rsidRDefault="0054216C" w:rsidP="00AC10A2">
      <w:r w:rsidRPr="00AC10A2">
        <w:t xml:space="preserve">An auspice is any organisation that is incorporated, holds current public and products liability insurance and agrees to take responsibility for your grant. </w:t>
      </w:r>
      <w:r w:rsidR="00361635" w:rsidRPr="008952F2">
        <w:t>Any legally constituted body may act as an auspice o</w:t>
      </w:r>
      <w:r w:rsidR="00445C6B">
        <w:t xml:space="preserve">rganisation to partner with and </w:t>
      </w:r>
      <w:r w:rsidR="00361635" w:rsidRPr="008952F2">
        <w:t>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r w:rsidR="00361635">
        <w:t>.</w:t>
      </w:r>
    </w:p>
    <w:p w14:paraId="22FFD7C0" w14:textId="77777777" w:rsidR="0054216C" w:rsidRDefault="0054216C" w:rsidP="00AC10A2">
      <w:r w:rsidRPr="00AC10A2">
        <w:t xml:space="preserve">A letter confirming the auspice arrangement </w:t>
      </w:r>
      <w:r w:rsidRPr="0055226D">
        <w:rPr>
          <w:u w:val="single"/>
        </w:rPr>
        <w:t>must</w:t>
      </w:r>
      <w:r w:rsidRPr="00AC10A2">
        <w:t xml:space="preserve"> be attached to your funding application. </w:t>
      </w:r>
      <w:r w:rsidR="00361635" w:rsidRPr="00361635">
        <w:t>Any auspice fees can be included in your grant budget</w:t>
      </w:r>
      <w:r w:rsidR="00361635">
        <w:t>.Examples of an auspice include:</w:t>
      </w:r>
    </w:p>
    <w:p w14:paraId="4C04B6EB" w14:textId="77777777" w:rsidR="00361635" w:rsidRPr="00361635" w:rsidRDefault="0022038C" w:rsidP="00EF28A3">
      <w:pPr>
        <w:pStyle w:val="ListParagraph"/>
        <w:numPr>
          <w:ilvl w:val="0"/>
          <w:numId w:val="10"/>
        </w:numPr>
      </w:pPr>
      <w:r>
        <w:t xml:space="preserve">A </w:t>
      </w:r>
      <w:r w:rsidR="00361635" w:rsidRPr="00361635">
        <w:t>Local neighbourhood house</w:t>
      </w:r>
      <w:r w:rsidR="00445C6B">
        <w:t>.</w:t>
      </w:r>
    </w:p>
    <w:p w14:paraId="6BEA2ADD" w14:textId="77777777" w:rsidR="00361635" w:rsidRPr="00361635" w:rsidRDefault="00361635" w:rsidP="00EF28A3">
      <w:pPr>
        <w:pStyle w:val="ListParagraph"/>
        <w:numPr>
          <w:ilvl w:val="0"/>
          <w:numId w:val="10"/>
        </w:numPr>
      </w:pPr>
      <w:r w:rsidRPr="00361635">
        <w:t>A community organisation yo</w:t>
      </w:r>
      <w:r w:rsidR="00445C6B">
        <w:t>u have worked or partnered with.</w:t>
      </w:r>
    </w:p>
    <w:p w14:paraId="117B43CB" w14:textId="77777777" w:rsidR="00361635" w:rsidRPr="00361635" w:rsidRDefault="0022038C" w:rsidP="00EF28A3">
      <w:pPr>
        <w:pStyle w:val="ListParagraph"/>
        <w:numPr>
          <w:ilvl w:val="0"/>
          <w:numId w:val="10"/>
        </w:numPr>
      </w:pPr>
      <w:r>
        <w:t xml:space="preserve">A </w:t>
      </w:r>
      <w:r w:rsidR="00445C6B">
        <w:t>p</w:t>
      </w:r>
      <w:r w:rsidR="00361635" w:rsidRPr="00361635">
        <w:t>eak body or governing association of your field</w:t>
      </w:r>
      <w:r w:rsidR="00445C6B">
        <w:t>.</w:t>
      </w:r>
    </w:p>
    <w:p w14:paraId="40E47E9D" w14:textId="77777777" w:rsidR="00361635" w:rsidRDefault="00361635" w:rsidP="00EF28A3">
      <w:pPr>
        <w:pStyle w:val="ListParagraph"/>
        <w:numPr>
          <w:ilvl w:val="0"/>
          <w:numId w:val="10"/>
        </w:numPr>
      </w:pPr>
      <w:r w:rsidRPr="00361635">
        <w:t>Organisations with a similar mission and purpose</w:t>
      </w:r>
      <w:r w:rsidR="00445C6B">
        <w:t>.</w:t>
      </w:r>
    </w:p>
    <w:p w14:paraId="18DA2BE6" w14:textId="77777777" w:rsidR="00445C6B" w:rsidRDefault="0054216C" w:rsidP="00AC10A2">
      <w:r w:rsidRPr="00AC10A2">
        <w:t>You can find out more about au</w:t>
      </w:r>
      <w:r w:rsidR="00656859">
        <w:t xml:space="preserve">spicing from Justice Connect at: </w:t>
      </w:r>
      <w:hyperlink r:id="rId25" w:history="1">
        <w:r w:rsidR="00656859" w:rsidRPr="00656859">
          <w:rPr>
            <w:rStyle w:val="Hyperlink"/>
          </w:rPr>
          <w:t>Auspicing details</w:t>
        </w:r>
      </w:hyperlink>
      <w:r w:rsidR="00656859">
        <w:rPr>
          <w:rStyle w:val="FootnoteReference"/>
        </w:rPr>
        <w:footnoteReference w:id="4"/>
      </w:r>
      <w:r w:rsidR="00656859">
        <w:t xml:space="preserve"> </w:t>
      </w:r>
    </w:p>
    <w:p w14:paraId="255E296D" w14:textId="77777777" w:rsidR="00115434" w:rsidRDefault="003F2A71" w:rsidP="00115434">
      <w:pPr>
        <w:pStyle w:val="Heading2"/>
      </w:pPr>
      <w:bookmarkStart w:id="58" w:name="_Toc32474509"/>
      <w:r>
        <w:lastRenderedPageBreak/>
        <w:t>Assessment criteria</w:t>
      </w:r>
      <w:bookmarkEnd w:id="58"/>
    </w:p>
    <w:p w14:paraId="2867FB90" w14:textId="77777777" w:rsidR="003F2A71" w:rsidRPr="003F2A71" w:rsidRDefault="003F2A71" w:rsidP="00115434">
      <w:r>
        <w:t>Application</w:t>
      </w:r>
      <w:r w:rsidR="007A5055">
        <w:t>s will be assessed by the Town H</w:t>
      </w:r>
      <w:r>
        <w:t>all Subsidy Panel against the eligibility criteria, against other applications and within budget constraints.</w:t>
      </w:r>
    </w:p>
    <w:tbl>
      <w:tblPr>
        <w:tblStyle w:val="TableGrid"/>
        <w:tblW w:w="0" w:type="auto"/>
        <w:tblLook w:val="04A0" w:firstRow="1" w:lastRow="0" w:firstColumn="1" w:lastColumn="0" w:noHBand="0" w:noVBand="1"/>
        <w:tblDescription w:val="A description of the three assessment criteria and per centage weighting for each of the criteria. "/>
      </w:tblPr>
      <w:tblGrid>
        <w:gridCol w:w="6941"/>
        <w:gridCol w:w="2075"/>
      </w:tblGrid>
      <w:tr w:rsidR="003F2A71" w14:paraId="41851E78" w14:textId="77777777" w:rsidTr="00A21B3B">
        <w:trPr>
          <w:tblHeader/>
        </w:trPr>
        <w:tc>
          <w:tcPr>
            <w:tcW w:w="6941" w:type="dxa"/>
          </w:tcPr>
          <w:p w14:paraId="382A894C" w14:textId="77777777" w:rsidR="003F2A71" w:rsidRPr="005758C8" w:rsidRDefault="003F2A71" w:rsidP="00A21B3B">
            <w:pPr>
              <w:rPr>
                <w:b/>
              </w:rPr>
            </w:pPr>
            <w:r w:rsidRPr="005758C8">
              <w:rPr>
                <w:b/>
              </w:rPr>
              <w:t>Criteria</w:t>
            </w:r>
          </w:p>
        </w:tc>
        <w:tc>
          <w:tcPr>
            <w:tcW w:w="2075" w:type="dxa"/>
          </w:tcPr>
          <w:p w14:paraId="52E1F51C" w14:textId="77777777" w:rsidR="003F2A71" w:rsidRPr="005758C8" w:rsidRDefault="003F2A71" w:rsidP="00A21B3B">
            <w:pPr>
              <w:rPr>
                <w:b/>
              </w:rPr>
            </w:pPr>
            <w:r w:rsidRPr="005758C8">
              <w:rPr>
                <w:b/>
              </w:rPr>
              <w:t>Weighting</w:t>
            </w:r>
          </w:p>
        </w:tc>
      </w:tr>
      <w:tr w:rsidR="003F2A71" w14:paraId="3B3419FC" w14:textId="77777777" w:rsidTr="00A21B3B">
        <w:tc>
          <w:tcPr>
            <w:tcW w:w="6941" w:type="dxa"/>
          </w:tcPr>
          <w:p w14:paraId="2AEEBFA1" w14:textId="77777777" w:rsidR="003F2A71" w:rsidRDefault="003F2A71" w:rsidP="00A21B3B">
            <w:r>
              <w:t xml:space="preserve">Target population: </w:t>
            </w:r>
          </w:p>
          <w:p w14:paraId="243A5BC1" w14:textId="77777777" w:rsidR="003F2A71" w:rsidRDefault="008D01E3" w:rsidP="008D01E3">
            <w:pPr>
              <w:pStyle w:val="NormalBullets"/>
              <w:numPr>
                <w:ilvl w:val="0"/>
                <w:numId w:val="0"/>
              </w:numPr>
            </w:pPr>
            <w:r>
              <w:t>Who are the participants?</w:t>
            </w:r>
          </w:p>
          <w:p w14:paraId="6DDED3E7" w14:textId="77777777" w:rsidR="003F2A71" w:rsidRDefault="003F2A71" w:rsidP="008D01E3">
            <w:pPr>
              <w:pStyle w:val="NormalBullets"/>
              <w:numPr>
                <w:ilvl w:val="0"/>
                <w:numId w:val="0"/>
              </w:numPr>
            </w:pPr>
            <w:r>
              <w:t xml:space="preserve">How many City of Port Phillip residents will benefit from </w:t>
            </w:r>
            <w:r w:rsidR="008D01E3">
              <w:t>the event?</w:t>
            </w:r>
          </w:p>
        </w:tc>
        <w:tc>
          <w:tcPr>
            <w:tcW w:w="2075" w:type="dxa"/>
          </w:tcPr>
          <w:p w14:paraId="18742820" w14:textId="77777777" w:rsidR="003F2A71" w:rsidRDefault="003F2A71" w:rsidP="00A21B3B">
            <w:r>
              <w:t>35 per cent</w:t>
            </w:r>
          </w:p>
        </w:tc>
      </w:tr>
      <w:tr w:rsidR="003F2A71" w14:paraId="4B3D91E9" w14:textId="77777777" w:rsidTr="00A21B3B">
        <w:tc>
          <w:tcPr>
            <w:tcW w:w="6941" w:type="dxa"/>
          </w:tcPr>
          <w:p w14:paraId="58D5A187" w14:textId="77777777" w:rsidR="003F2A71" w:rsidRDefault="003F2A71" w:rsidP="00A21B3B">
            <w:r>
              <w:t>Council priorities:</w:t>
            </w:r>
          </w:p>
          <w:p w14:paraId="16A28EBD" w14:textId="77777777" w:rsidR="003F2A71" w:rsidRDefault="003F2A71" w:rsidP="00A21B3B">
            <w:r>
              <w:t>To what degree does the e</w:t>
            </w:r>
            <w:r w:rsidR="008D01E3">
              <w:t>vent address Council priorities?</w:t>
            </w:r>
          </w:p>
        </w:tc>
        <w:tc>
          <w:tcPr>
            <w:tcW w:w="2075" w:type="dxa"/>
          </w:tcPr>
          <w:p w14:paraId="754AA234" w14:textId="77777777" w:rsidR="003F2A71" w:rsidRDefault="003F2A71" w:rsidP="00A21B3B">
            <w:r>
              <w:t>30 per cent</w:t>
            </w:r>
          </w:p>
        </w:tc>
      </w:tr>
      <w:tr w:rsidR="003F2A71" w14:paraId="3419C2F5" w14:textId="77777777" w:rsidTr="00A21B3B">
        <w:tc>
          <w:tcPr>
            <w:tcW w:w="6941" w:type="dxa"/>
          </w:tcPr>
          <w:p w14:paraId="14137C93" w14:textId="77777777" w:rsidR="003F2A71" w:rsidRDefault="003F2A71" w:rsidP="00A21B3B">
            <w:r>
              <w:t xml:space="preserve">Community benefit: </w:t>
            </w:r>
          </w:p>
          <w:p w14:paraId="4A9EE094" w14:textId="5A54510C" w:rsidR="003F2A71" w:rsidRDefault="003F2A71" w:rsidP="008D01E3">
            <w:pPr>
              <w:pStyle w:val="NormalBullets"/>
              <w:numPr>
                <w:ilvl w:val="0"/>
                <w:numId w:val="0"/>
              </w:numPr>
            </w:pPr>
            <w:r>
              <w:t>The organisation</w:t>
            </w:r>
            <w:r w:rsidR="001A75F8">
              <w:t>’s purpose</w:t>
            </w:r>
            <w:r>
              <w:t xml:space="preserve"> is predominantly for the Port Phillip community</w:t>
            </w:r>
            <w:r w:rsidR="008D01E3">
              <w:t>.</w:t>
            </w:r>
          </w:p>
          <w:p w14:paraId="4C1A6B0D" w14:textId="77777777" w:rsidR="003F2A71" w:rsidRDefault="003F2A71" w:rsidP="008D01E3">
            <w:pPr>
              <w:pStyle w:val="NormalBullets"/>
              <w:numPr>
                <w:ilvl w:val="0"/>
                <w:numId w:val="0"/>
              </w:numPr>
            </w:pPr>
            <w:r>
              <w:t>Does the event enable access for all Port Phillip residents</w:t>
            </w:r>
            <w:r w:rsidR="008D01E3">
              <w:t>?</w:t>
            </w:r>
          </w:p>
          <w:p w14:paraId="2C89B108" w14:textId="77777777" w:rsidR="003F2A71" w:rsidRDefault="008D01E3" w:rsidP="008D01E3">
            <w:pPr>
              <w:pStyle w:val="NormalBullets"/>
              <w:numPr>
                <w:ilvl w:val="0"/>
                <w:numId w:val="0"/>
              </w:numPr>
            </w:pPr>
            <w:r>
              <w:t>Does</w:t>
            </w:r>
            <w:r w:rsidR="003F2A71">
              <w:t xml:space="preserve"> the event directly benefit the</w:t>
            </w:r>
            <w:r>
              <w:t xml:space="preserve"> City of</w:t>
            </w:r>
            <w:r w:rsidR="003F2A71">
              <w:t xml:space="preserve"> Port Phillip community</w:t>
            </w:r>
            <w:r>
              <w:t>?</w:t>
            </w:r>
          </w:p>
        </w:tc>
        <w:tc>
          <w:tcPr>
            <w:tcW w:w="2075" w:type="dxa"/>
          </w:tcPr>
          <w:p w14:paraId="39595B8B" w14:textId="77777777" w:rsidR="003F2A71" w:rsidRDefault="003F2A71" w:rsidP="00A21B3B">
            <w:r>
              <w:t>35 per cent</w:t>
            </w:r>
          </w:p>
        </w:tc>
      </w:tr>
    </w:tbl>
    <w:p w14:paraId="5B58F437" w14:textId="77777777" w:rsidR="000B06FA" w:rsidRDefault="00A21B3B" w:rsidP="000B06FA">
      <w:pPr>
        <w:pStyle w:val="Heading2"/>
      </w:pPr>
      <w:bookmarkStart w:id="59" w:name="_Toc32474510"/>
      <w:r>
        <w:t>More information</w:t>
      </w:r>
      <w:bookmarkEnd w:id="59"/>
    </w:p>
    <w:p w14:paraId="7E9DB932" w14:textId="7C3827F1" w:rsidR="00E4259B" w:rsidRDefault="007A5055" w:rsidP="007A5055">
      <w:r>
        <w:t xml:space="preserve">If your subsidy application is successful this does not guarantee that your event be held on your nominated dates. Once the subsidy has been confirmed the </w:t>
      </w:r>
      <w:r w:rsidR="00D33A25">
        <w:t xml:space="preserve">Events and </w:t>
      </w:r>
      <w:r>
        <w:t xml:space="preserve">Corporate Facilities </w:t>
      </w:r>
      <w:r w:rsidR="00E4259B">
        <w:t xml:space="preserve">Team will work with to </w:t>
      </w:r>
      <w:r w:rsidR="008D01E3">
        <w:t>schedule</w:t>
      </w:r>
      <w:r w:rsidR="00E4259B">
        <w:t xml:space="preserve"> your event within the auditoriums availability.</w:t>
      </w:r>
    </w:p>
    <w:p w14:paraId="03D69D7E" w14:textId="3EC9BF30" w:rsidR="007A5055" w:rsidRPr="007A5055" w:rsidRDefault="00E4259B" w:rsidP="007A5055">
      <w:r>
        <w:t xml:space="preserve">All enquiries about the planning and execution of your event should be directed to the </w:t>
      </w:r>
      <w:r w:rsidR="00D33A25">
        <w:t xml:space="preserve">Events and </w:t>
      </w:r>
      <w:r>
        <w:t>Corporate Fac</w:t>
      </w:r>
      <w:r w:rsidR="00D33A25">
        <w:t>ilities Team: phone 03 9609 6505</w:t>
      </w:r>
      <w:r>
        <w:t xml:space="preserve">, email </w:t>
      </w:r>
      <w:hyperlink r:id="rId26" w:history="1">
        <w:r w:rsidRPr="00BE7627">
          <w:rPr>
            <w:rStyle w:val="Hyperlink"/>
          </w:rPr>
          <w:t>stkall@portphillip.vic.gov.au</w:t>
        </w:r>
      </w:hyperlink>
      <w:r>
        <w:t xml:space="preserve"> or webpage </w:t>
      </w:r>
      <w:hyperlink r:id="rId27" w:history="1">
        <w:r w:rsidRPr="00BE7627">
          <w:rPr>
            <w:rStyle w:val="Hyperlink"/>
          </w:rPr>
          <w:t>http://www.portphillip.vic.gov.au/town_hall_hire.htm</w:t>
        </w:r>
      </w:hyperlink>
      <w:r>
        <w:t xml:space="preserve"> </w:t>
      </w:r>
      <w:r w:rsidR="007A5055">
        <w:t xml:space="preserve"> </w:t>
      </w:r>
    </w:p>
    <w:p w14:paraId="5B6494A8" w14:textId="77777777" w:rsidR="007A5055" w:rsidRDefault="00A21B3B" w:rsidP="000B06FA">
      <w:pPr>
        <w:rPr>
          <w:shd w:val="clear" w:color="auto" w:fill="FFFFFF"/>
        </w:rPr>
      </w:pPr>
      <w:r>
        <w:rPr>
          <w:shd w:val="clear" w:color="auto" w:fill="FFFFFF"/>
        </w:rPr>
        <w:t>The City of Port Phillip is committed to providing equitable pari</w:t>
      </w:r>
      <w:r w:rsidR="008D01E3">
        <w:rPr>
          <w:shd w:val="clear" w:color="auto" w:fill="FFFFFF"/>
        </w:rPr>
        <w:t>cipation and engagement. If you</w:t>
      </w:r>
      <w:r>
        <w:rPr>
          <w:shd w:val="clear" w:color="auto" w:fill="FFFFFF"/>
        </w:rPr>
        <w:t xml:space="preserve"> require </w:t>
      </w:r>
      <w:r w:rsidR="008D01E3">
        <w:rPr>
          <w:shd w:val="clear" w:color="auto" w:fill="FFFFFF"/>
        </w:rPr>
        <w:t>s</w:t>
      </w:r>
      <w:r>
        <w:rPr>
          <w:shd w:val="clear" w:color="auto" w:fill="FFFFFF"/>
        </w:rPr>
        <w:t>upport to co</w:t>
      </w:r>
      <w:r w:rsidR="00E4259B">
        <w:rPr>
          <w:shd w:val="clear" w:color="auto" w:fill="FFFFFF"/>
        </w:rPr>
        <w:t>m</w:t>
      </w:r>
      <w:r>
        <w:rPr>
          <w:shd w:val="clear" w:color="auto" w:fill="FFFFFF"/>
        </w:rPr>
        <w:t>plete your grant app</w:t>
      </w:r>
      <w:r w:rsidR="00E4259B">
        <w:rPr>
          <w:shd w:val="clear" w:color="auto" w:fill="FFFFFF"/>
        </w:rPr>
        <w:t>l</w:t>
      </w:r>
      <w:r>
        <w:rPr>
          <w:shd w:val="clear" w:color="auto" w:fill="FFFFFF"/>
        </w:rPr>
        <w:t>ication, contact the Community Grants and Funding Officer, on phone 03 9209 6</w:t>
      </w:r>
      <w:r w:rsidR="008D01E3">
        <w:rPr>
          <w:shd w:val="clear" w:color="auto" w:fill="FFFFFF"/>
        </w:rPr>
        <w:t>162</w:t>
      </w:r>
      <w:r>
        <w:rPr>
          <w:shd w:val="clear" w:color="auto" w:fill="FFFFFF"/>
        </w:rPr>
        <w:t xml:space="preserve"> or email </w:t>
      </w:r>
      <w:hyperlink r:id="rId28" w:history="1">
        <w:r w:rsidR="000B06FA" w:rsidRPr="000B06FA">
          <w:rPr>
            <w:color w:val="0D6458"/>
            <w:u w:val="single"/>
            <w:bdr w:val="none" w:sz="0" w:space="0" w:color="auto" w:frame="1"/>
            <w:shd w:val="clear" w:color="auto" w:fill="FFFFFF"/>
          </w:rPr>
          <w:t>grants@portphillip.vic.gov.au</w:t>
        </w:r>
      </w:hyperlink>
      <w:r w:rsidR="000B06FA" w:rsidRPr="000B06FA">
        <w:rPr>
          <w:shd w:val="clear" w:color="auto" w:fill="FFFFFF"/>
        </w:rPr>
        <w:t>.</w:t>
      </w:r>
    </w:p>
    <w:p w14:paraId="3CA7DF7A" w14:textId="77777777" w:rsidR="00A21B3B" w:rsidRDefault="00A21B3B" w:rsidP="00A21B3B">
      <w:pPr>
        <w:pStyle w:val="Heading2"/>
      </w:pPr>
      <w:bookmarkStart w:id="60" w:name="_Toc32474511"/>
      <w:r>
        <w:t>Unsuccessful applicants</w:t>
      </w:r>
      <w:bookmarkEnd w:id="60"/>
    </w:p>
    <w:p w14:paraId="0F351B1F" w14:textId="77777777" w:rsidR="00827B75" w:rsidRDefault="00A21B3B" w:rsidP="009C21F7">
      <w:pPr>
        <w:tabs>
          <w:tab w:val="clear" w:pos="-3060"/>
          <w:tab w:val="clear" w:pos="-2340"/>
          <w:tab w:val="clear" w:pos="6300"/>
        </w:tabs>
        <w:suppressAutoHyphens w:val="0"/>
        <w:spacing w:after="160" w:line="259" w:lineRule="auto"/>
      </w:pPr>
      <w:r>
        <w:t>If your application was unsuc</w:t>
      </w:r>
      <w:r w:rsidR="008D01E3">
        <w:t>c</w:t>
      </w:r>
      <w:r>
        <w:t>essful or was not eli</w:t>
      </w:r>
      <w:r w:rsidR="009C21F7">
        <w:t xml:space="preserve">gible for the subsidy scheme, Council offers 16 community faciltiies which are available for hire. </w:t>
      </w:r>
      <w:r w:rsidR="00E4259B">
        <w:t xml:space="preserve">For more information view the webpage </w:t>
      </w:r>
      <w:hyperlink r:id="rId29" w:history="1">
        <w:r w:rsidR="009C21F7" w:rsidRPr="009C21F7">
          <w:rPr>
            <w:rStyle w:val="Hyperlink"/>
          </w:rPr>
          <w:t>City of Port Phillip Community Facilities</w:t>
        </w:r>
      </w:hyperlink>
      <w:r w:rsidR="009C21F7">
        <w:t xml:space="preserve"> or call 03 9209 6777</w:t>
      </w:r>
    </w:p>
    <w:p w14:paraId="035E38E6" w14:textId="77777777" w:rsidR="00827B75" w:rsidRDefault="00827B75">
      <w:pPr>
        <w:tabs>
          <w:tab w:val="clear" w:pos="-3060"/>
          <w:tab w:val="clear" w:pos="-2340"/>
          <w:tab w:val="clear" w:pos="6300"/>
        </w:tabs>
        <w:suppressAutoHyphens w:val="0"/>
        <w:spacing w:after="160" w:line="259" w:lineRule="auto"/>
      </w:pPr>
      <w:r>
        <w:br w:type="page"/>
      </w:r>
    </w:p>
    <w:p w14:paraId="50B991B7" w14:textId="77777777" w:rsidR="00827B75" w:rsidRPr="00A21B3B" w:rsidRDefault="00827B75" w:rsidP="00827B75">
      <w:pPr>
        <w:pStyle w:val="Heading1"/>
      </w:pPr>
      <w:bookmarkStart w:id="61" w:name="_Appendix_A_-"/>
      <w:bookmarkEnd w:id="61"/>
      <w:r w:rsidRPr="00772D8B">
        <w:lastRenderedPageBreak/>
        <w:t xml:space="preserve">Appendix </w:t>
      </w:r>
      <w:r>
        <w:t xml:space="preserve">A </w:t>
      </w:r>
      <w:r w:rsidRPr="00772D8B">
        <w:t>- City of Port Phillip</w:t>
      </w:r>
    </w:p>
    <w:p w14:paraId="7A18023A" w14:textId="77777777" w:rsidR="008D01E3" w:rsidRDefault="00E12B04" w:rsidP="00772D8B">
      <w:pPr>
        <w:pStyle w:val="Heading1"/>
      </w:pPr>
      <w:r>
        <w:rPr>
          <w:rFonts w:ascii="Times New Roman" w:hAnsi="Times New Roman" w:cs="Times New Roman"/>
          <w:b w:val="0"/>
          <w:bCs/>
          <w:sz w:val="24"/>
          <w:szCs w:val="24"/>
        </w:rPr>
        <w:drawing>
          <wp:inline distT="0" distB="0" distL="0" distR="0" wp14:anchorId="65DFE6F9" wp14:editId="59ACCE2D">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61A68BB" w14:textId="77777777" w:rsidR="008D01E3" w:rsidRDefault="008D01E3">
      <w:pPr>
        <w:tabs>
          <w:tab w:val="clear" w:pos="-3060"/>
          <w:tab w:val="clear" w:pos="-2340"/>
          <w:tab w:val="clear" w:pos="6300"/>
        </w:tabs>
        <w:suppressAutoHyphens w:val="0"/>
        <w:spacing w:after="160" w:line="259" w:lineRule="auto"/>
        <w:rPr>
          <w:b/>
          <w:color w:val="0090A3"/>
          <w:sz w:val="52"/>
          <w:szCs w:val="52"/>
        </w:rPr>
      </w:pPr>
      <w:r>
        <w:br w:type="page"/>
      </w:r>
    </w:p>
    <w:p w14:paraId="3E307293" w14:textId="77777777" w:rsidR="003F2A71" w:rsidRDefault="005B7427" w:rsidP="003F2A71">
      <w:pPr>
        <w:pStyle w:val="Heading1"/>
      </w:pPr>
      <w:bookmarkStart w:id="62" w:name="_Appendix_B_-"/>
      <w:bookmarkStart w:id="63" w:name="_Toc32474513"/>
      <w:bookmarkEnd w:id="62"/>
      <w:r>
        <w:lastRenderedPageBreak/>
        <w:t xml:space="preserve">Appendix </w:t>
      </w:r>
      <w:r w:rsidR="00E12B04">
        <w:t>B</w:t>
      </w:r>
      <w:r w:rsidR="005106B6">
        <w:t xml:space="preserve"> - </w:t>
      </w:r>
      <w:r w:rsidR="003F2A71">
        <w:t>Conditions of subsidy</w:t>
      </w:r>
      <w:bookmarkEnd w:id="63"/>
    </w:p>
    <w:p w14:paraId="63A8446C" w14:textId="77777777" w:rsidR="003F2A71" w:rsidRDefault="003F2A71" w:rsidP="003F2A71">
      <w:r>
        <w:t xml:space="preserve">Applicants may receive </w:t>
      </w:r>
      <w:r w:rsidR="008D01E3">
        <w:t>full</w:t>
      </w:r>
      <w:r>
        <w:t xml:space="preserve"> or </w:t>
      </w:r>
      <w:r w:rsidR="008D01E3">
        <w:t>partial</w:t>
      </w:r>
      <w:r>
        <w:t xml:space="preserve"> subsidy. No application can be guaranteed use of facilities, nor can any applicant be guaranteed use of facilities to the full extent requested. It is important that applicants consider these limitations when preparing the request for assistance. </w:t>
      </w:r>
    </w:p>
    <w:p w14:paraId="4955C6F7" w14:textId="77777777" w:rsidR="003F2A71" w:rsidRDefault="003F2A71" w:rsidP="003F2A71">
      <w:r>
        <w:t xml:space="preserve">Successful applications are subject to hall availability. </w:t>
      </w:r>
      <w:r w:rsidRPr="007A5055">
        <w:t>Organisations will be granted one Town Hall Subsidy event per financial year.</w:t>
      </w:r>
      <w:r w:rsidR="008D01E3">
        <w:t xml:space="preserve"> </w:t>
      </w:r>
      <w:r>
        <w:t>The level of assistance available is limited by Council’s budget.</w:t>
      </w:r>
    </w:p>
    <w:p w14:paraId="7ABEC280" w14:textId="77777777" w:rsidR="003F2A71" w:rsidRDefault="003F2A71" w:rsidP="003F2A71">
      <w:r>
        <w:t>Council reserves the right to identify priority areas for funding consistent with the broad strategic directions and policies endorsed by Council.</w:t>
      </w:r>
      <w:r w:rsidR="008D01E3">
        <w:t xml:space="preserve"> </w:t>
      </w:r>
      <w:r>
        <w:t>If an application is unsuccessful it does not necessarily mean that the project or activity is not worthy of support. The panel may refer to you another Council venue.</w:t>
      </w:r>
    </w:p>
    <w:p w14:paraId="0338A15D" w14:textId="77777777" w:rsidR="003F2A71" w:rsidRDefault="003F2A71" w:rsidP="003F2A71">
      <w:r>
        <w:t>Successful Town Hall Hire Subsidy Scheme applicants are subject to the terms and conditions of use that apply to hirers of Council facilities and must pay a refundable</w:t>
      </w:r>
      <w:r w:rsidR="00B72943">
        <w:t xml:space="preserve"> security</w:t>
      </w:r>
      <w:r>
        <w:t xml:space="preserve"> bond. Refer to the </w:t>
      </w:r>
      <w:hyperlink r:id="rId31" w:history="1">
        <w:r w:rsidRPr="00F35F6E">
          <w:rPr>
            <w:rStyle w:val="Hyperlink"/>
          </w:rPr>
          <w:t>Conditions of Hire for Municipal Halls</w:t>
        </w:r>
      </w:hyperlink>
      <w:r>
        <w:t xml:space="preserve"> document.</w:t>
      </w:r>
    </w:p>
    <w:p w14:paraId="2E931FD0" w14:textId="77777777" w:rsidR="003F2A71" w:rsidRPr="000E49C8" w:rsidRDefault="003F2A71" w:rsidP="003F2A71">
      <w:pPr>
        <w:pStyle w:val="Default"/>
      </w:pPr>
      <w:r w:rsidRPr="000E49C8">
        <w:t>If you have received a Town Hall Hire Subsidy for the same event in past years, we will require a brief outcome report to be submitted.</w:t>
      </w:r>
    </w:p>
    <w:p w14:paraId="5D383CCA" w14:textId="77777777" w:rsidR="00F86296" w:rsidRDefault="00A21B3B" w:rsidP="00372268">
      <w:pPr>
        <w:pStyle w:val="Heading2"/>
      </w:pPr>
      <w:bookmarkStart w:id="64" w:name="_Toc536189392"/>
      <w:bookmarkStart w:id="65" w:name="_Toc32474514"/>
      <w:r>
        <w:t>City of Port Phillip Acknowledgement</w:t>
      </w:r>
      <w:bookmarkEnd w:id="64"/>
      <w:bookmarkEnd w:id="65"/>
    </w:p>
    <w:p w14:paraId="5180F423" w14:textId="77777777" w:rsidR="00F86296" w:rsidRDefault="00F86296" w:rsidP="00F86296">
      <w:r>
        <w:t xml:space="preserve">As part of your successful grant or subsidy application, you will need to recognise the support of the City of Port Phillip: </w:t>
      </w:r>
    </w:p>
    <w:p w14:paraId="5B22CBFD" w14:textId="77777777" w:rsidR="00F86296" w:rsidRDefault="008D01E3" w:rsidP="00F86296">
      <w:pPr>
        <w:pStyle w:val="NormalBullets"/>
        <w:numPr>
          <w:ilvl w:val="0"/>
          <w:numId w:val="21"/>
        </w:numPr>
      </w:pPr>
      <w:r>
        <w:rPr>
          <w:rStyle w:val="NormalBulletsChar"/>
        </w:rPr>
        <w:t>A</w:t>
      </w:r>
      <w:r w:rsidR="00F86296" w:rsidRPr="008D507E">
        <w:rPr>
          <w:rStyle w:val="NormalBulletsChar"/>
        </w:rPr>
        <w:t xml:space="preserve">cknowledgement of Council’s support on </w:t>
      </w:r>
      <w:r w:rsidR="00F86296">
        <w:rPr>
          <w:rStyle w:val="NormalBulletsChar"/>
        </w:rPr>
        <w:t xml:space="preserve">function or </w:t>
      </w:r>
      <w:r w:rsidR="00F86296" w:rsidRPr="008D507E">
        <w:rPr>
          <w:rStyle w:val="NormalBulletsChar"/>
        </w:rPr>
        <w:t xml:space="preserve">event related </w:t>
      </w:r>
      <w:r w:rsidR="00F86296">
        <w:rPr>
          <w:rStyle w:val="NormalBulletsChar"/>
        </w:rPr>
        <w:t>publicity material</w:t>
      </w:r>
      <w:r>
        <w:rPr>
          <w:rStyle w:val="NormalBulletsChar"/>
        </w:rPr>
        <w:t>.</w:t>
      </w:r>
    </w:p>
    <w:p w14:paraId="60F88A9D" w14:textId="77777777" w:rsidR="00F86296" w:rsidRDefault="008D01E3" w:rsidP="00F86296">
      <w:pPr>
        <w:pStyle w:val="ListParagraph"/>
        <w:numPr>
          <w:ilvl w:val="0"/>
          <w:numId w:val="21"/>
        </w:numPr>
        <w:tabs>
          <w:tab w:val="clear" w:pos="-3060"/>
          <w:tab w:val="clear" w:pos="-2340"/>
          <w:tab w:val="clear" w:pos="6300"/>
          <w:tab w:val="right" w:pos="8931"/>
        </w:tabs>
        <w:suppressAutoHyphens w:val="0"/>
      </w:pPr>
      <w:r>
        <w:t>A</w:t>
      </w:r>
      <w:r w:rsidR="00F86296">
        <w:t>cknowledgment of Council’s support at the function or event</w:t>
      </w:r>
      <w:r>
        <w:t>.</w:t>
      </w:r>
    </w:p>
    <w:p w14:paraId="39EAA3D8" w14:textId="77777777" w:rsidR="00F86296" w:rsidRDefault="008D01E3" w:rsidP="00F86296">
      <w:pPr>
        <w:pStyle w:val="NormalBullets"/>
      </w:pPr>
      <w:r>
        <w:t>O</w:t>
      </w:r>
      <w:r w:rsidR="00F86296">
        <w:t>pportunities for the City of Port Phillip to speak at key activities (if appropriate)</w:t>
      </w:r>
      <w:r>
        <w:t>.</w:t>
      </w:r>
    </w:p>
    <w:p w14:paraId="799C6424" w14:textId="77777777" w:rsidR="00F86296" w:rsidRDefault="008D01E3" w:rsidP="00F86296">
      <w:pPr>
        <w:pStyle w:val="ListParagraph"/>
        <w:numPr>
          <w:ilvl w:val="0"/>
          <w:numId w:val="21"/>
        </w:numPr>
        <w:tabs>
          <w:tab w:val="clear" w:pos="-3060"/>
          <w:tab w:val="clear" w:pos="-2340"/>
          <w:tab w:val="clear" w:pos="6300"/>
          <w:tab w:val="right" w:pos="8931"/>
        </w:tabs>
        <w:suppressAutoHyphens w:val="0"/>
        <w:spacing w:after="240"/>
        <w:ind w:left="714" w:hanging="357"/>
      </w:pPr>
      <w:r>
        <w:t>D</w:t>
      </w:r>
      <w:r w:rsidR="00F86296">
        <w:t>isplay of City of Port Phillip promotional banners at the function or event (if appropriate).</w:t>
      </w:r>
    </w:p>
    <w:p w14:paraId="7FBAAEA3" w14:textId="7D6D6CBF" w:rsidR="002F405A" w:rsidRDefault="002F405A" w:rsidP="002F405A">
      <w:pPr>
        <w:tabs>
          <w:tab w:val="clear" w:pos="-3060"/>
          <w:tab w:val="clear" w:pos="-2340"/>
          <w:tab w:val="clear" w:pos="6300"/>
        </w:tabs>
        <w:suppressAutoHyphens w:val="0"/>
        <w:spacing w:after="0"/>
        <w:rPr>
          <w:bCs/>
          <w:iCs/>
        </w:rPr>
      </w:pPr>
      <w:r w:rsidRPr="009423F4">
        <w:rPr>
          <w:bCs/>
          <w:iCs/>
        </w:rPr>
        <w:t>Please follow the style guide overleaf. Final artwork for communication m</w:t>
      </w:r>
      <w:r w:rsidR="008D01E3" w:rsidRPr="009423F4">
        <w:rPr>
          <w:bCs/>
          <w:iCs/>
        </w:rPr>
        <w:t>aterial (posters, brochures etc</w:t>
      </w:r>
      <w:r w:rsidRPr="009423F4">
        <w:rPr>
          <w:bCs/>
          <w:iCs/>
        </w:rPr>
        <w:t xml:space="preserve"> may require approval from Council officers before it is published.)</w:t>
      </w:r>
    </w:p>
    <w:p w14:paraId="69F1D046" w14:textId="4F6480DB" w:rsidR="00682CC7" w:rsidRDefault="00682CC7" w:rsidP="002F405A">
      <w:pPr>
        <w:tabs>
          <w:tab w:val="clear" w:pos="-3060"/>
          <w:tab w:val="clear" w:pos="-2340"/>
          <w:tab w:val="clear" w:pos="6300"/>
        </w:tabs>
        <w:suppressAutoHyphens w:val="0"/>
        <w:spacing w:after="0"/>
        <w:rPr>
          <w:bCs/>
          <w:iCs/>
        </w:rPr>
      </w:pPr>
    </w:p>
    <w:sectPr w:rsidR="00682CC7" w:rsidSect="00827B75">
      <w:headerReference w:type="even" r:id="rId32"/>
      <w:headerReference w:type="default" r:id="rId33"/>
      <w:footerReference w:type="default" r:id="rId34"/>
      <w:headerReference w:type="first" r:id="rId35"/>
      <w:footerReference w:type="first" r:id="rId36"/>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ACAD" w14:textId="77777777" w:rsidR="007F6A76" w:rsidRDefault="007F6A76" w:rsidP="00257DF2">
      <w:r>
        <w:separator/>
      </w:r>
    </w:p>
  </w:endnote>
  <w:endnote w:type="continuationSeparator" w:id="0">
    <w:p w14:paraId="43728505" w14:textId="77777777" w:rsidR="007F6A76" w:rsidRDefault="007F6A76"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65060091"/>
      <w:docPartObj>
        <w:docPartGallery w:val="Page Numbers (Bottom of Page)"/>
        <w:docPartUnique/>
      </w:docPartObj>
    </w:sdtPr>
    <w:sdtEndPr>
      <w:rPr>
        <w:noProof/>
      </w:rPr>
    </w:sdtEndPr>
    <w:sdtContent>
      <w:p w14:paraId="043C2835" w14:textId="207386DC" w:rsidR="007F6A76" w:rsidRPr="007000A1" w:rsidRDefault="007F6A76" w:rsidP="007000A1">
        <w:pPr>
          <w:pStyle w:val="Footer"/>
          <w:jc w:val="right"/>
        </w:pPr>
        <w:r>
          <w:rPr>
            <w:noProof w:val="0"/>
          </w:rPr>
          <w:fldChar w:fldCharType="begin"/>
        </w:r>
        <w:r>
          <w:instrText xml:space="preserve"> PAGE   \* MERGEFORMAT </w:instrText>
        </w:r>
        <w:r>
          <w:rPr>
            <w:noProof w:val="0"/>
          </w:rPr>
          <w:fldChar w:fldCharType="separate"/>
        </w:r>
        <w:r w:rsidR="008876B0">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450F" w14:textId="77777777" w:rsidR="007F6A76" w:rsidRDefault="007F6A76" w:rsidP="004B6B07">
    <w:pPr>
      <w:pStyle w:val="Footer"/>
      <w:tabs>
        <w:tab w:val="clear" w:pos="4153"/>
        <w:tab w:val="clear" w:pos="6300"/>
        <w:tab w:val="clear" w:pos="8306"/>
        <w:tab w:val="left" w:pos="8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B40B" w14:textId="77777777" w:rsidR="007F6A76" w:rsidRDefault="007F6A76" w:rsidP="00257DF2">
      <w:r>
        <w:separator/>
      </w:r>
    </w:p>
  </w:footnote>
  <w:footnote w:type="continuationSeparator" w:id="0">
    <w:p w14:paraId="71DBFD2F" w14:textId="77777777" w:rsidR="007F6A76" w:rsidRDefault="007F6A76" w:rsidP="00257DF2">
      <w:r>
        <w:continuationSeparator/>
      </w:r>
    </w:p>
  </w:footnote>
  <w:footnote w:id="1">
    <w:p w14:paraId="2477A479" w14:textId="77777777" w:rsidR="007F6A76" w:rsidRDefault="007F6A76" w:rsidP="0097072C">
      <w:pPr>
        <w:pStyle w:val="FootnoteText"/>
      </w:pPr>
      <w:r>
        <w:rPr>
          <w:rStyle w:val="FootnoteReference"/>
        </w:rPr>
        <w:footnoteRef/>
      </w:r>
      <w:r>
        <w:t xml:space="preserve"> http://www.portphillip.vic.gov.au/council_plan_budget.htm</w:t>
      </w:r>
    </w:p>
  </w:footnote>
  <w:footnote w:id="2">
    <w:p w14:paraId="1CED73DA" w14:textId="77777777" w:rsidR="007F6A76" w:rsidRPr="00B17727" w:rsidRDefault="007F6A76" w:rsidP="00216B18">
      <w:pPr>
        <w:rPr>
          <w:sz w:val="20"/>
          <w:szCs w:val="20"/>
        </w:rPr>
      </w:pPr>
      <w:r>
        <w:rPr>
          <w:rStyle w:val="FootnoteReference"/>
        </w:rPr>
        <w:footnoteRef/>
      </w:r>
      <w:r>
        <w:t xml:space="preserve"> </w:t>
      </w:r>
      <w:r>
        <w:rPr>
          <w:sz w:val="20"/>
          <w:szCs w:val="20"/>
        </w:rPr>
        <w:t>Full web link to event accessibility c</w:t>
      </w:r>
      <w:r w:rsidRPr="001F4787">
        <w:rPr>
          <w:sz w:val="20"/>
          <w:szCs w:val="20"/>
        </w:rPr>
        <w:t>hecklist</w:t>
      </w:r>
      <w:r>
        <w:rPr>
          <w:sz w:val="20"/>
          <w:szCs w:val="20"/>
        </w:rPr>
        <w:t xml:space="preserve">: </w:t>
      </w:r>
      <w:r w:rsidRPr="00B17727">
        <w:rPr>
          <w:sz w:val="20"/>
          <w:szCs w:val="20"/>
        </w:rPr>
        <w:t>https://www.and.org.au/pages/event-checklist.html</w:t>
      </w:r>
    </w:p>
  </w:footnote>
  <w:footnote w:id="3">
    <w:p w14:paraId="5C822705" w14:textId="77777777" w:rsidR="007F6A76" w:rsidRDefault="007F6A76">
      <w:pPr>
        <w:pStyle w:val="FootnoteText"/>
      </w:pPr>
      <w:r>
        <w:rPr>
          <w:rStyle w:val="FootnoteReference"/>
        </w:rPr>
        <w:footnoteRef/>
      </w:r>
      <w:r>
        <w:t xml:space="preserve"> Fo full weblink to Consumer Affairs Victoria: </w:t>
      </w:r>
      <w:hyperlink r:id="rId1" w:history="1">
        <w:r w:rsidRPr="00B104A2">
          <w:rPr>
            <w:rStyle w:val="Hyperlink"/>
          </w:rPr>
          <w:t>www.consumer.vic.gov.au</w:t>
        </w:r>
      </w:hyperlink>
      <w:r w:rsidRPr="00B104A2">
        <w:t>.</w:t>
      </w:r>
    </w:p>
  </w:footnote>
  <w:footnote w:id="4">
    <w:p w14:paraId="081FC6D5" w14:textId="77777777" w:rsidR="007F6A76" w:rsidRDefault="007F6A76">
      <w:pPr>
        <w:pStyle w:val="FootnoteText"/>
      </w:pPr>
      <w:r>
        <w:rPr>
          <w:rStyle w:val="FootnoteReference"/>
        </w:rPr>
        <w:footnoteRef/>
      </w:r>
      <w:r>
        <w:t xml:space="preserve"> For full web link to Jutice Connect auspicing details: </w:t>
      </w:r>
      <w:hyperlink r:id="rId2" w:history="1">
        <w:r w:rsidRPr="00656859">
          <w:rPr>
            <w:rStyle w:val="Hyperlink"/>
            <w:color w:val="2E74B5" w:themeColor="accent1" w:themeShade="BF"/>
          </w:rPr>
          <w:t>https://www.nfplaw.org.au/auspicing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3BBC" w14:textId="77777777" w:rsidR="007F6A76" w:rsidRPr="00372268" w:rsidRDefault="007F6A76" w:rsidP="00372268">
    <w:pPr>
      <w:pStyle w:val="BasicParagraph"/>
      <w:suppressAutoHyphens/>
      <w:rPr>
        <w:rFonts w:ascii="Arial" w:hAnsi="Arial" w:cs="Arial"/>
        <w:b/>
        <w:bCs/>
        <w:color w:val="0090A3"/>
      </w:rPr>
    </w:pPr>
    <w:r w:rsidRPr="00372268">
      <w:rPr>
        <w:rFonts w:ascii="Arial" w:hAnsi="Arial" w:cs="Arial"/>
        <w:b/>
        <w:color w:val="0090A3"/>
      </w:rPr>
      <w:t>Town Hall Hire Subsidy Scheme 2020/2021 – Guidelines</w:t>
    </w:r>
  </w:p>
  <w:p w14:paraId="6AF35FA1" w14:textId="77777777" w:rsidR="007F6A76" w:rsidRPr="00372268" w:rsidRDefault="007F6A76" w:rsidP="0037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A5CE" w14:textId="77777777" w:rsidR="007F6A76" w:rsidRPr="00372268" w:rsidRDefault="007F6A76" w:rsidP="00372268">
    <w:pPr>
      <w:pStyle w:val="BasicParagraph"/>
      <w:suppressAutoHyphens/>
      <w:rPr>
        <w:rFonts w:ascii="Arial" w:hAnsi="Arial" w:cs="Arial"/>
        <w:b/>
        <w:bCs/>
        <w:color w:val="0090A3"/>
      </w:rPr>
    </w:pPr>
    <w:r w:rsidRPr="00372268">
      <w:rPr>
        <w:rFonts w:ascii="Arial" w:hAnsi="Arial" w:cs="Arial"/>
        <w:b/>
        <w:color w:val="0090A3"/>
      </w:rPr>
      <w:t>Town Hall Hire Subsidy Scheme 2020/2021 – Guidelines</w:t>
    </w:r>
  </w:p>
  <w:p w14:paraId="1DBFD2F6" w14:textId="77777777" w:rsidR="007F6A76" w:rsidRPr="00372268" w:rsidRDefault="007F6A76" w:rsidP="0037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9CA9" w14:textId="77777777" w:rsidR="007F6A76" w:rsidRDefault="007F6A76" w:rsidP="00A15DC8">
    <w:r>
      <w:drawing>
        <wp:anchor distT="0" distB="0" distL="114300" distR="114300" simplePos="0" relativeHeight="251673600" behindDoc="0" locked="1" layoutInCell="1" allowOverlap="1" wp14:anchorId="7170CBB2" wp14:editId="0F435099">
          <wp:simplePos x="0" y="0"/>
          <wp:positionH relativeFrom="page">
            <wp:align>left</wp:align>
          </wp:positionH>
          <wp:positionV relativeFrom="page">
            <wp:align>top</wp:align>
          </wp:positionV>
          <wp:extent cx="7548245" cy="5034280"/>
          <wp:effectExtent l="0" t="0" r="0" b="0"/>
          <wp:wrapNone/>
          <wp:docPr id="4" name="Picture 4" descr="City of Port Phillip corporate colours used as background" title="Blue backgro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503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2" w15:restartNumberingAfterBreak="0">
    <w:nsid w:val="022F696A"/>
    <w:multiLevelType w:val="hybridMultilevel"/>
    <w:tmpl w:val="B1B61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F93A7D"/>
    <w:multiLevelType w:val="hybridMultilevel"/>
    <w:tmpl w:val="280CC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F30F6"/>
    <w:multiLevelType w:val="hybridMultilevel"/>
    <w:tmpl w:val="217CD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332E0"/>
    <w:multiLevelType w:val="hybridMultilevel"/>
    <w:tmpl w:val="088A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84C4D"/>
    <w:multiLevelType w:val="hybridMultilevel"/>
    <w:tmpl w:val="F77E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66A0"/>
    <w:multiLevelType w:val="hybridMultilevel"/>
    <w:tmpl w:val="FD1E209E"/>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C0B3A"/>
    <w:multiLevelType w:val="hybridMultilevel"/>
    <w:tmpl w:val="C596B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34F47"/>
    <w:multiLevelType w:val="hybridMultilevel"/>
    <w:tmpl w:val="2358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722F7"/>
    <w:multiLevelType w:val="hybridMultilevel"/>
    <w:tmpl w:val="41E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405E7"/>
    <w:multiLevelType w:val="hybridMultilevel"/>
    <w:tmpl w:val="25AE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D56F3"/>
    <w:multiLevelType w:val="hybridMultilevel"/>
    <w:tmpl w:val="E2A0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B41EEE"/>
    <w:multiLevelType w:val="hybridMultilevel"/>
    <w:tmpl w:val="AA06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C53FC"/>
    <w:multiLevelType w:val="hybridMultilevel"/>
    <w:tmpl w:val="46A0D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56D1B"/>
    <w:multiLevelType w:val="hybridMultilevel"/>
    <w:tmpl w:val="E912F4BA"/>
    <w:lvl w:ilvl="0" w:tplc="367467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A108A9"/>
    <w:multiLevelType w:val="hybridMultilevel"/>
    <w:tmpl w:val="C48829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FD557A0"/>
    <w:multiLevelType w:val="hybridMultilevel"/>
    <w:tmpl w:val="773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35378F"/>
    <w:multiLevelType w:val="hybridMultilevel"/>
    <w:tmpl w:val="7010B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23F55"/>
    <w:multiLevelType w:val="hybridMultilevel"/>
    <w:tmpl w:val="21D0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64B6A"/>
    <w:multiLevelType w:val="hybridMultilevel"/>
    <w:tmpl w:val="C450B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72463FF"/>
    <w:multiLevelType w:val="hybridMultilevel"/>
    <w:tmpl w:val="18B687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E065A"/>
    <w:multiLevelType w:val="hybridMultilevel"/>
    <w:tmpl w:val="4D9E1A34"/>
    <w:lvl w:ilvl="0" w:tplc="201AF8E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BC6401F"/>
    <w:multiLevelType w:val="hybridMultilevel"/>
    <w:tmpl w:val="526E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240334"/>
    <w:multiLevelType w:val="hybridMultilevel"/>
    <w:tmpl w:val="0346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4"/>
  </w:num>
  <w:num w:numId="5">
    <w:abstractNumId w:val="8"/>
  </w:num>
  <w:num w:numId="6">
    <w:abstractNumId w:val="15"/>
  </w:num>
  <w:num w:numId="7">
    <w:abstractNumId w:val="2"/>
  </w:num>
  <w:num w:numId="8">
    <w:abstractNumId w:val="14"/>
  </w:num>
  <w:num w:numId="9">
    <w:abstractNumId w:val="27"/>
  </w:num>
  <w:num w:numId="10">
    <w:abstractNumId w:val="7"/>
  </w:num>
  <w:num w:numId="11">
    <w:abstractNumId w:val="11"/>
  </w:num>
  <w:num w:numId="12">
    <w:abstractNumId w:val="9"/>
  </w:num>
  <w:num w:numId="13">
    <w:abstractNumId w:val="12"/>
  </w:num>
  <w:num w:numId="14">
    <w:abstractNumId w:val="28"/>
  </w:num>
  <w:num w:numId="15">
    <w:abstractNumId w:val="25"/>
  </w:num>
  <w:num w:numId="16">
    <w:abstractNumId w:val="23"/>
  </w:num>
  <w:num w:numId="17">
    <w:abstractNumId w:val="16"/>
  </w:num>
  <w:num w:numId="18">
    <w:abstractNumId w:val="17"/>
  </w:num>
  <w:num w:numId="19">
    <w:abstractNumId w:val="3"/>
  </w:num>
  <w:num w:numId="20">
    <w:abstractNumId w:val="22"/>
  </w:num>
  <w:num w:numId="21">
    <w:abstractNumId w:val="21"/>
  </w:num>
  <w:num w:numId="22">
    <w:abstractNumId w:val="6"/>
  </w:num>
  <w:num w:numId="23">
    <w:abstractNumId w:val="18"/>
  </w:num>
  <w:num w:numId="24">
    <w:abstractNumId w:val="10"/>
  </w:num>
  <w:num w:numId="25">
    <w:abstractNumId w:val="5"/>
  </w:num>
  <w:num w:numId="26">
    <w:abstractNumId w:val="26"/>
  </w:num>
  <w:num w:numId="27">
    <w:abstractNumId w:val="20"/>
  </w:num>
  <w:num w:numId="28">
    <w:abstractNumId w:val="24"/>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0EE1"/>
    <w:rsid w:val="00005191"/>
    <w:rsid w:val="000065BE"/>
    <w:rsid w:val="0001345C"/>
    <w:rsid w:val="0001381D"/>
    <w:rsid w:val="000165D1"/>
    <w:rsid w:val="00017051"/>
    <w:rsid w:val="0002707D"/>
    <w:rsid w:val="0003393C"/>
    <w:rsid w:val="00035135"/>
    <w:rsid w:val="00035204"/>
    <w:rsid w:val="00036081"/>
    <w:rsid w:val="00043D33"/>
    <w:rsid w:val="0004417A"/>
    <w:rsid w:val="00050FD6"/>
    <w:rsid w:val="000511A2"/>
    <w:rsid w:val="00052184"/>
    <w:rsid w:val="00054536"/>
    <w:rsid w:val="00054541"/>
    <w:rsid w:val="000665D2"/>
    <w:rsid w:val="00067770"/>
    <w:rsid w:val="000715A7"/>
    <w:rsid w:val="00077E95"/>
    <w:rsid w:val="000832B7"/>
    <w:rsid w:val="00087D00"/>
    <w:rsid w:val="00095316"/>
    <w:rsid w:val="000A43BE"/>
    <w:rsid w:val="000A491E"/>
    <w:rsid w:val="000A7991"/>
    <w:rsid w:val="000B06FA"/>
    <w:rsid w:val="000B21BE"/>
    <w:rsid w:val="000C2FF8"/>
    <w:rsid w:val="000C4983"/>
    <w:rsid w:val="000C6E40"/>
    <w:rsid w:val="000C7371"/>
    <w:rsid w:val="000C77F0"/>
    <w:rsid w:val="000E592D"/>
    <w:rsid w:val="000E6C6F"/>
    <w:rsid w:val="000F2FCB"/>
    <w:rsid w:val="00104AEA"/>
    <w:rsid w:val="00111D07"/>
    <w:rsid w:val="00115434"/>
    <w:rsid w:val="00116566"/>
    <w:rsid w:val="001218ED"/>
    <w:rsid w:val="001265C2"/>
    <w:rsid w:val="00130EFF"/>
    <w:rsid w:val="0014036E"/>
    <w:rsid w:val="001479D9"/>
    <w:rsid w:val="001530B6"/>
    <w:rsid w:val="001539CB"/>
    <w:rsid w:val="001637AB"/>
    <w:rsid w:val="001637CE"/>
    <w:rsid w:val="00163A73"/>
    <w:rsid w:val="0016603A"/>
    <w:rsid w:val="001676AA"/>
    <w:rsid w:val="00167B96"/>
    <w:rsid w:val="0017122A"/>
    <w:rsid w:val="00171DC1"/>
    <w:rsid w:val="00172C7C"/>
    <w:rsid w:val="00172CF5"/>
    <w:rsid w:val="0017420C"/>
    <w:rsid w:val="001750B0"/>
    <w:rsid w:val="00176C24"/>
    <w:rsid w:val="00180503"/>
    <w:rsid w:val="0018150E"/>
    <w:rsid w:val="0018161E"/>
    <w:rsid w:val="00185568"/>
    <w:rsid w:val="0019509C"/>
    <w:rsid w:val="0019598E"/>
    <w:rsid w:val="001A75F8"/>
    <w:rsid w:val="001B5ABA"/>
    <w:rsid w:val="001C2A76"/>
    <w:rsid w:val="001C2ED7"/>
    <w:rsid w:val="001C3EA9"/>
    <w:rsid w:val="001C5443"/>
    <w:rsid w:val="001C6604"/>
    <w:rsid w:val="001D24B6"/>
    <w:rsid w:val="001E0F66"/>
    <w:rsid w:val="001E7411"/>
    <w:rsid w:val="001F4787"/>
    <w:rsid w:val="00216B18"/>
    <w:rsid w:val="00217B11"/>
    <w:rsid w:val="0022038C"/>
    <w:rsid w:val="00222F80"/>
    <w:rsid w:val="00225B2E"/>
    <w:rsid w:val="0022690D"/>
    <w:rsid w:val="00227112"/>
    <w:rsid w:val="002275AE"/>
    <w:rsid w:val="002275D5"/>
    <w:rsid w:val="00236741"/>
    <w:rsid w:val="00242CA6"/>
    <w:rsid w:val="00243370"/>
    <w:rsid w:val="002464E4"/>
    <w:rsid w:val="002525B0"/>
    <w:rsid w:val="00254F6F"/>
    <w:rsid w:val="002555A9"/>
    <w:rsid w:val="002567F4"/>
    <w:rsid w:val="0025690B"/>
    <w:rsid w:val="00257DF2"/>
    <w:rsid w:val="00260E73"/>
    <w:rsid w:val="00264AC9"/>
    <w:rsid w:val="0026750B"/>
    <w:rsid w:val="00271196"/>
    <w:rsid w:val="00272496"/>
    <w:rsid w:val="00273BF5"/>
    <w:rsid w:val="00276ECE"/>
    <w:rsid w:val="002830F6"/>
    <w:rsid w:val="00284161"/>
    <w:rsid w:val="002878AF"/>
    <w:rsid w:val="0029558D"/>
    <w:rsid w:val="002A7063"/>
    <w:rsid w:val="002B0061"/>
    <w:rsid w:val="002B2242"/>
    <w:rsid w:val="002C10BE"/>
    <w:rsid w:val="002C2500"/>
    <w:rsid w:val="002D10EE"/>
    <w:rsid w:val="002D1972"/>
    <w:rsid w:val="002D5C65"/>
    <w:rsid w:val="002E0222"/>
    <w:rsid w:val="002E612C"/>
    <w:rsid w:val="002F405A"/>
    <w:rsid w:val="002F5C3D"/>
    <w:rsid w:val="002F7368"/>
    <w:rsid w:val="002F7498"/>
    <w:rsid w:val="002F7DAA"/>
    <w:rsid w:val="00302152"/>
    <w:rsid w:val="003038E2"/>
    <w:rsid w:val="00313EE7"/>
    <w:rsid w:val="0031723F"/>
    <w:rsid w:val="003205A1"/>
    <w:rsid w:val="0032672F"/>
    <w:rsid w:val="00342209"/>
    <w:rsid w:val="00344F41"/>
    <w:rsid w:val="00351F7C"/>
    <w:rsid w:val="00353879"/>
    <w:rsid w:val="00361635"/>
    <w:rsid w:val="00363AA5"/>
    <w:rsid w:val="003709AE"/>
    <w:rsid w:val="00372268"/>
    <w:rsid w:val="0038267D"/>
    <w:rsid w:val="00384510"/>
    <w:rsid w:val="00392632"/>
    <w:rsid w:val="00395046"/>
    <w:rsid w:val="00397553"/>
    <w:rsid w:val="003A16D8"/>
    <w:rsid w:val="003A53A7"/>
    <w:rsid w:val="003A64C1"/>
    <w:rsid w:val="003A6661"/>
    <w:rsid w:val="003B0351"/>
    <w:rsid w:val="003C4C74"/>
    <w:rsid w:val="003D1A82"/>
    <w:rsid w:val="003D2CEC"/>
    <w:rsid w:val="003D3B15"/>
    <w:rsid w:val="003E039C"/>
    <w:rsid w:val="003E04D8"/>
    <w:rsid w:val="003E7C76"/>
    <w:rsid w:val="003F0EE4"/>
    <w:rsid w:val="003F0FCA"/>
    <w:rsid w:val="003F2A71"/>
    <w:rsid w:val="003F4F1E"/>
    <w:rsid w:val="00403573"/>
    <w:rsid w:val="004054B9"/>
    <w:rsid w:val="00411E06"/>
    <w:rsid w:val="004123D2"/>
    <w:rsid w:val="00413913"/>
    <w:rsid w:val="00415614"/>
    <w:rsid w:val="0042311E"/>
    <w:rsid w:val="00427326"/>
    <w:rsid w:val="00433208"/>
    <w:rsid w:val="0043456D"/>
    <w:rsid w:val="004443A9"/>
    <w:rsid w:val="00444C0E"/>
    <w:rsid w:val="00445C6B"/>
    <w:rsid w:val="004501C8"/>
    <w:rsid w:val="00451C03"/>
    <w:rsid w:val="00455307"/>
    <w:rsid w:val="004573EA"/>
    <w:rsid w:val="004605E0"/>
    <w:rsid w:val="00461972"/>
    <w:rsid w:val="00461FF7"/>
    <w:rsid w:val="004725FE"/>
    <w:rsid w:val="00472D78"/>
    <w:rsid w:val="0047734F"/>
    <w:rsid w:val="00477F37"/>
    <w:rsid w:val="00490E53"/>
    <w:rsid w:val="00492A3E"/>
    <w:rsid w:val="00495022"/>
    <w:rsid w:val="00495072"/>
    <w:rsid w:val="004952FF"/>
    <w:rsid w:val="00495D21"/>
    <w:rsid w:val="004B0E26"/>
    <w:rsid w:val="004B1D29"/>
    <w:rsid w:val="004B6B07"/>
    <w:rsid w:val="004B7185"/>
    <w:rsid w:val="004B72B2"/>
    <w:rsid w:val="004C54F7"/>
    <w:rsid w:val="004C7AB8"/>
    <w:rsid w:val="004D25B3"/>
    <w:rsid w:val="004D4CC7"/>
    <w:rsid w:val="004D5825"/>
    <w:rsid w:val="004E0282"/>
    <w:rsid w:val="004F1472"/>
    <w:rsid w:val="004F20D9"/>
    <w:rsid w:val="004F6238"/>
    <w:rsid w:val="004F7B0E"/>
    <w:rsid w:val="005036FB"/>
    <w:rsid w:val="005048D6"/>
    <w:rsid w:val="00504958"/>
    <w:rsid w:val="005106B6"/>
    <w:rsid w:val="00511A7F"/>
    <w:rsid w:val="00514C13"/>
    <w:rsid w:val="00516686"/>
    <w:rsid w:val="00516F80"/>
    <w:rsid w:val="00516FEE"/>
    <w:rsid w:val="00532BA3"/>
    <w:rsid w:val="00536964"/>
    <w:rsid w:val="00537013"/>
    <w:rsid w:val="0054216C"/>
    <w:rsid w:val="00544371"/>
    <w:rsid w:val="005445FB"/>
    <w:rsid w:val="00550E66"/>
    <w:rsid w:val="00550F6B"/>
    <w:rsid w:val="0055226D"/>
    <w:rsid w:val="00552825"/>
    <w:rsid w:val="00572B33"/>
    <w:rsid w:val="00583788"/>
    <w:rsid w:val="00591D0C"/>
    <w:rsid w:val="005950CC"/>
    <w:rsid w:val="00595B8A"/>
    <w:rsid w:val="005A6FDD"/>
    <w:rsid w:val="005A7820"/>
    <w:rsid w:val="005B2EBB"/>
    <w:rsid w:val="005B47C3"/>
    <w:rsid w:val="005B7427"/>
    <w:rsid w:val="005D27F6"/>
    <w:rsid w:val="005D59A1"/>
    <w:rsid w:val="005E2EDC"/>
    <w:rsid w:val="005E595C"/>
    <w:rsid w:val="005F361C"/>
    <w:rsid w:val="00601F11"/>
    <w:rsid w:val="00605AA9"/>
    <w:rsid w:val="00605C67"/>
    <w:rsid w:val="00607A01"/>
    <w:rsid w:val="00621515"/>
    <w:rsid w:val="0062624F"/>
    <w:rsid w:val="00633361"/>
    <w:rsid w:val="00636814"/>
    <w:rsid w:val="00640998"/>
    <w:rsid w:val="00641646"/>
    <w:rsid w:val="0065061E"/>
    <w:rsid w:val="00652DA5"/>
    <w:rsid w:val="00656859"/>
    <w:rsid w:val="00666D61"/>
    <w:rsid w:val="00667AD0"/>
    <w:rsid w:val="00673C70"/>
    <w:rsid w:val="00681118"/>
    <w:rsid w:val="00681C7B"/>
    <w:rsid w:val="00682189"/>
    <w:rsid w:val="00682CC7"/>
    <w:rsid w:val="00691B23"/>
    <w:rsid w:val="00697D54"/>
    <w:rsid w:val="006A6B14"/>
    <w:rsid w:val="006A7ABC"/>
    <w:rsid w:val="006B36EE"/>
    <w:rsid w:val="006B7D4A"/>
    <w:rsid w:val="006C33BD"/>
    <w:rsid w:val="006D0CE9"/>
    <w:rsid w:val="006D1B97"/>
    <w:rsid w:val="006D3396"/>
    <w:rsid w:val="006D6905"/>
    <w:rsid w:val="006E2E9B"/>
    <w:rsid w:val="006E6F0E"/>
    <w:rsid w:val="006F53C5"/>
    <w:rsid w:val="007000A1"/>
    <w:rsid w:val="00702AA3"/>
    <w:rsid w:val="0071014D"/>
    <w:rsid w:val="0071384E"/>
    <w:rsid w:val="007147AC"/>
    <w:rsid w:val="00715910"/>
    <w:rsid w:val="00720A6C"/>
    <w:rsid w:val="00725014"/>
    <w:rsid w:val="00730D8B"/>
    <w:rsid w:val="00731936"/>
    <w:rsid w:val="00731E2A"/>
    <w:rsid w:val="0073385B"/>
    <w:rsid w:val="007377C9"/>
    <w:rsid w:val="00741E1F"/>
    <w:rsid w:val="007450EF"/>
    <w:rsid w:val="00753A10"/>
    <w:rsid w:val="00753F1A"/>
    <w:rsid w:val="00754231"/>
    <w:rsid w:val="007561DC"/>
    <w:rsid w:val="00760975"/>
    <w:rsid w:val="0076149E"/>
    <w:rsid w:val="007656DD"/>
    <w:rsid w:val="007662B1"/>
    <w:rsid w:val="00772630"/>
    <w:rsid w:val="00772D8B"/>
    <w:rsid w:val="00773026"/>
    <w:rsid w:val="00775471"/>
    <w:rsid w:val="00777465"/>
    <w:rsid w:val="007919E9"/>
    <w:rsid w:val="00792FD0"/>
    <w:rsid w:val="00793E81"/>
    <w:rsid w:val="00795441"/>
    <w:rsid w:val="00797723"/>
    <w:rsid w:val="007A1518"/>
    <w:rsid w:val="007A5055"/>
    <w:rsid w:val="007A56F6"/>
    <w:rsid w:val="007B1FBB"/>
    <w:rsid w:val="007B3F03"/>
    <w:rsid w:val="007C4497"/>
    <w:rsid w:val="007C4C0F"/>
    <w:rsid w:val="007C6D92"/>
    <w:rsid w:val="007D156F"/>
    <w:rsid w:val="007D555E"/>
    <w:rsid w:val="007D58B4"/>
    <w:rsid w:val="007D72D9"/>
    <w:rsid w:val="007E07BB"/>
    <w:rsid w:val="007E3DE8"/>
    <w:rsid w:val="007E5C07"/>
    <w:rsid w:val="007F0854"/>
    <w:rsid w:val="007F4229"/>
    <w:rsid w:val="007F6A76"/>
    <w:rsid w:val="008008A6"/>
    <w:rsid w:val="00800E29"/>
    <w:rsid w:val="008019B6"/>
    <w:rsid w:val="00803ABB"/>
    <w:rsid w:val="0081635D"/>
    <w:rsid w:val="00821F56"/>
    <w:rsid w:val="008259F0"/>
    <w:rsid w:val="00827B75"/>
    <w:rsid w:val="00854858"/>
    <w:rsid w:val="008553EF"/>
    <w:rsid w:val="008614F3"/>
    <w:rsid w:val="0086167F"/>
    <w:rsid w:val="00861B13"/>
    <w:rsid w:val="00865547"/>
    <w:rsid w:val="00865BF8"/>
    <w:rsid w:val="00866E0F"/>
    <w:rsid w:val="00870D55"/>
    <w:rsid w:val="00871225"/>
    <w:rsid w:val="00886B3B"/>
    <w:rsid w:val="008876B0"/>
    <w:rsid w:val="00892052"/>
    <w:rsid w:val="008952F2"/>
    <w:rsid w:val="00896E06"/>
    <w:rsid w:val="008A10FE"/>
    <w:rsid w:val="008A3E3E"/>
    <w:rsid w:val="008A6902"/>
    <w:rsid w:val="008A6C8A"/>
    <w:rsid w:val="008B2FE9"/>
    <w:rsid w:val="008C174B"/>
    <w:rsid w:val="008D01E3"/>
    <w:rsid w:val="008D3D37"/>
    <w:rsid w:val="008E5843"/>
    <w:rsid w:val="008E5934"/>
    <w:rsid w:val="008F1E7F"/>
    <w:rsid w:val="008F3BA8"/>
    <w:rsid w:val="008F41F0"/>
    <w:rsid w:val="00911FCF"/>
    <w:rsid w:val="00916058"/>
    <w:rsid w:val="009165F6"/>
    <w:rsid w:val="009240F2"/>
    <w:rsid w:val="00932B72"/>
    <w:rsid w:val="009339BE"/>
    <w:rsid w:val="009423F4"/>
    <w:rsid w:val="0095067A"/>
    <w:rsid w:val="009578C5"/>
    <w:rsid w:val="00963C01"/>
    <w:rsid w:val="0097072C"/>
    <w:rsid w:val="00972B8F"/>
    <w:rsid w:val="0097582C"/>
    <w:rsid w:val="00975C82"/>
    <w:rsid w:val="00982528"/>
    <w:rsid w:val="00983910"/>
    <w:rsid w:val="00986A31"/>
    <w:rsid w:val="00996386"/>
    <w:rsid w:val="009A0C7B"/>
    <w:rsid w:val="009A1EFE"/>
    <w:rsid w:val="009A61FE"/>
    <w:rsid w:val="009B0923"/>
    <w:rsid w:val="009B7117"/>
    <w:rsid w:val="009B7326"/>
    <w:rsid w:val="009C1A11"/>
    <w:rsid w:val="009C1D49"/>
    <w:rsid w:val="009C21F7"/>
    <w:rsid w:val="009C3CA0"/>
    <w:rsid w:val="009C64CB"/>
    <w:rsid w:val="009D2482"/>
    <w:rsid w:val="009E24A9"/>
    <w:rsid w:val="009F0C8C"/>
    <w:rsid w:val="009F143F"/>
    <w:rsid w:val="00A02142"/>
    <w:rsid w:val="00A07106"/>
    <w:rsid w:val="00A11A39"/>
    <w:rsid w:val="00A1307F"/>
    <w:rsid w:val="00A15DC8"/>
    <w:rsid w:val="00A21B3B"/>
    <w:rsid w:val="00A221D5"/>
    <w:rsid w:val="00A22D4C"/>
    <w:rsid w:val="00A362EB"/>
    <w:rsid w:val="00A36A57"/>
    <w:rsid w:val="00A36DCF"/>
    <w:rsid w:val="00A40EB4"/>
    <w:rsid w:val="00A4430F"/>
    <w:rsid w:val="00A45274"/>
    <w:rsid w:val="00A51317"/>
    <w:rsid w:val="00A57DDF"/>
    <w:rsid w:val="00A601E5"/>
    <w:rsid w:val="00A604EC"/>
    <w:rsid w:val="00A60D51"/>
    <w:rsid w:val="00A641A7"/>
    <w:rsid w:val="00A65F14"/>
    <w:rsid w:val="00A67057"/>
    <w:rsid w:val="00A72511"/>
    <w:rsid w:val="00A75267"/>
    <w:rsid w:val="00A80691"/>
    <w:rsid w:val="00A8239C"/>
    <w:rsid w:val="00A93D56"/>
    <w:rsid w:val="00AB2787"/>
    <w:rsid w:val="00AB4632"/>
    <w:rsid w:val="00AB6AA4"/>
    <w:rsid w:val="00AC10A2"/>
    <w:rsid w:val="00AC1521"/>
    <w:rsid w:val="00AC667C"/>
    <w:rsid w:val="00AD102A"/>
    <w:rsid w:val="00AD13DD"/>
    <w:rsid w:val="00AD1EAF"/>
    <w:rsid w:val="00AD569C"/>
    <w:rsid w:val="00AE6C9A"/>
    <w:rsid w:val="00AF5B64"/>
    <w:rsid w:val="00B01D0B"/>
    <w:rsid w:val="00B104A2"/>
    <w:rsid w:val="00B17727"/>
    <w:rsid w:val="00B24A98"/>
    <w:rsid w:val="00B25DC7"/>
    <w:rsid w:val="00B30B2E"/>
    <w:rsid w:val="00B41DBC"/>
    <w:rsid w:val="00B4648F"/>
    <w:rsid w:val="00B5341C"/>
    <w:rsid w:val="00B56C24"/>
    <w:rsid w:val="00B62322"/>
    <w:rsid w:val="00B6375B"/>
    <w:rsid w:val="00B64683"/>
    <w:rsid w:val="00B71D68"/>
    <w:rsid w:val="00B72943"/>
    <w:rsid w:val="00B82918"/>
    <w:rsid w:val="00B85516"/>
    <w:rsid w:val="00B94BB1"/>
    <w:rsid w:val="00BA112C"/>
    <w:rsid w:val="00BA30DE"/>
    <w:rsid w:val="00BA3E49"/>
    <w:rsid w:val="00BB0B9B"/>
    <w:rsid w:val="00BC1622"/>
    <w:rsid w:val="00BC2742"/>
    <w:rsid w:val="00BD376F"/>
    <w:rsid w:val="00BD715D"/>
    <w:rsid w:val="00BD74B7"/>
    <w:rsid w:val="00BE1095"/>
    <w:rsid w:val="00BE6E64"/>
    <w:rsid w:val="00BF4DC0"/>
    <w:rsid w:val="00C0020B"/>
    <w:rsid w:val="00C13165"/>
    <w:rsid w:val="00C24133"/>
    <w:rsid w:val="00C24D99"/>
    <w:rsid w:val="00C32473"/>
    <w:rsid w:val="00C4093C"/>
    <w:rsid w:val="00C40F60"/>
    <w:rsid w:val="00C4215E"/>
    <w:rsid w:val="00C42A41"/>
    <w:rsid w:val="00C47EDB"/>
    <w:rsid w:val="00C518DD"/>
    <w:rsid w:val="00C644AB"/>
    <w:rsid w:val="00C6700E"/>
    <w:rsid w:val="00C71D6E"/>
    <w:rsid w:val="00C7365B"/>
    <w:rsid w:val="00C74C4D"/>
    <w:rsid w:val="00C75EEF"/>
    <w:rsid w:val="00C773E5"/>
    <w:rsid w:val="00C81F73"/>
    <w:rsid w:val="00C82065"/>
    <w:rsid w:val="00C94CB3"/>
    <w:rsid w:val="00C95AEB"/>
    <w:rsid w:val="00C95F79"/>
    <w:rsid w:val="00C976AE"/>
    <w:rsid w:val="00CA3F76"/>
    <w:rsid w:val="00CB303C"/>
    <w:rsid w:val="00CC1E06"/>
    <w:rsid w:val="00CC3F18"/>
    <w:rsid w:val="00CC528D"/>
    <w:rsid w:val="00CD4953"/>
    <w:rsid w:val="00CE088F"/>
    <w:rsid w:val="00CE302E"/>
    <w:rsid w:val="00CE42E2"/>
    <w:rsid w:val="00CE5D54"/>
    <w:rsid w:val="00CF07E1"/>
    <w:rsid w:val="00CF0BD5"/>
    <w:rsid w:val="00CF2B19"/>
    <w:rsid w:val="00CF39A5"/>
    <w:rsid w:val="00D00BCB"/>
    <w:rsid w:val="00D03B4C"/>
    <w:rsid w:val="00D05C2A"/>
    <w:rsid w:val="00D100F9"/>
    <w:rsid w:val="00D134B2"/>
    <w:rsid w:val="00D13EC6"/>
    <w:rsid w:val="00D163D1"/>
    <w:rsid w:val="00D176BA"/>
    <w:rsid w:val="00D32243"/>
    <w:rsid w:val="00D33A25"/>
    <w:rsid w:val="00D37AFD"/>
    <w:rsid w:val="00D47FD4"/>
    <w:rsid w:val="00D502B9"/>
    <w:rsid w:val="00D519A1"/>
    <w:rsid w:val="00D53BB2"/>
    <w:rsid w:val="00D5421E"/>
    <w:rsid w:val="00D55960"/>
    <w:rsid w:val="00D55AF0"/>
    <w:rsid w:val="00D60E63"/>
    <w:rsid w:val="00D674D2"/>
    <w:rsid w:val="00D740AE"/>
    <w:rsid w:val="00D74131"/>
    <w:rsid w:val="00D819E7"/>
    <w:rsid w:val="00D879D2"/>
    <w:rsid w:val="00D9085A"/>
    <w:rsid w:val="00DA1398"/>
    <w:rsid w:val="00DA1E0B"/>
    <w:rsid w:val="00DA6290"/>
    <w:rsid w:val="00DA6DED"/>
    <w:rsid w:val="00DB05CD"/>
    <w:rsid w:val="00DC3F14"/>
    <w:rsid w:val="00DC54FD"/>
    <w:rsid w:val="00DC75EB"/>
    <w:rsid w:val="00DD1FD7"/>
    <w:rsid w:val="00DD27D7"/>
    <w:rsid w:val="00DD5B93"/>
    <w:rsid w:val="00DF4CFB"/>
    <w:rsid w:val="00DF6F46"/>
    <w:rsid w:val="00E00AEE"/>
    <w:rsid w:val="00E02E78"/>
    <w:rsid w:val="00E046EF"/>
    <w:rsid w:val="00E12B04"/>
    <w:rsid w:val="00E14562"/>
    <w:rsid w:val="00E20713"/>
    <w:rsid w:val="00E227BF"/>
    <w:rsid w:val="00E239B0"/>
    <w:rsid w:val="00E24289"/>
    <w:rsid w:val="00E27306"/>
    <w:rsid w:val="00E34192"/>
    <w:rsid w:val="00E37A21"/>
    <w:rsid w:val="00E4259B"/>
    <w:rsid w:val="00E47295"/>
    <w:rsid w:val="00E51667"/>
    <w:rsid w:val="00E53BA1"/>
    <w:rsid w:val="00E541D8"/>
    <w:rsid w:val="00E65858"/>
    <w:rsid w:val="00E67511"/>
    <w:rsid w:val="00E67A12"/>
    <w:rsid w:val="00E71FA1"/>
    <w:rsid w:val="00E746B2"/>
    <w:rsid w:val="00E75207"/>
    <w:rsid w:val="00E81BB6"/>
    <w:rsid w:val="00E94198"/>
    <w:rsid w:val="00E96712"/>
    <w:rsid w:val="00EA0B00"/>
    <w:rsid w:val="00EA5AC3"/>
    <w:rsid w:val="00EA6CAC"/>
    <w:rsid w:val="00EB5841"/>
    <w:rsid w:val="00EC021A"/>
    <w:rsid w:val="00ED236F"/>
    <w:rsid w:val="00ED2BB2"/>
    <w:rsid w:val="00ED3929"/>
    <w:rsid w:val="00ED5496"/>
    <w:rsid w:val="00ED6E40"/>
    <w:rsid w:val="00EE08A6"/>
    <w:rsid w:val="00EE2C90"/>
    <w:rsid w:val="00EE400D"/>
    <w:rsid w:val="00EE4CB8"/>
    <w:rsid w:val="00EF28A3"/>
    <w:rsid w:val="00EF31D9"/>
    <w:rsid w:val="00EF3CBE"/>
    <w:rsid w:val="00EF79E3"/>
    <w:rsid w:val="00F015D6"/>
    <w:rsid w:val="00F02038"/>
    <w:rsid w:val="00F02814"/>
    <w:rsid w:val="00F0478B"/>
    <w:rsid w:val="00F1022C"/>
    <w:rsid w:val="00F12114"/>
    <w:rsid w:val="00F12FED"/>
    <w:rsid w:val="00F12FFE"/>
    <w:rsid w:val="00F13657"/>
    <w:rsid w:val="00F13BE2"/>
    <w:rsid w:val="00F143F7"/>
    <w:rsid w:val="00F1755B"/>
    <w:rsid w:val="00F17B7A"/>
    <w:rsid w:val="00F23AAA"/>
    <w:rsid w:val="00F24AA7"/>
    <w:rsid w:val="00F25C67"/>
    <w:rsid w:val="00F33631"/>
    <w:rsid w:val="00F3454C"/>
    <w:rsid w:val="00F35F6E"/>
    <w:rsid w:val="00F43E14"/>
    <w:rsid w:val="00F47657"/>
    <w:rsid w:val="00F5159E"/>
    <w:rsid w:val="00F51B85"/>
    <w:rsid w:val="00F65372"/>
    <w:rsid w:val="00F67026"/>
    <w:rsid w:val="00F76E65"/>
    <w:rsid w:val="00F811AA"/>
    <w:rsid w:val="00F81CA6"/>
    <w:rsid w:val="00F824A6"/>
    <w:rsid w:val="00F84B15"/>
    <w:rsid w:val="00F857AA"/>
    <w:rsid w:val="00F86296"/>
    <w:rsid w:val="00FC16A9"/>
    <w:rsid w:val="00FC48C6"/>
    <w:rsid w:val="00FC5062"/>
    <w:rsid w:val="00FD0638"/>
    <w:rsid w:val="00FD30AD"/>
    <w:rsid w:val="00FD794E"/>
    <w:rsid w:val="00FE2DF1"/>
    <w:rsid w:val="00FE2E80"/>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68C68C3"/>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D9"/>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72268"/>
    <w:pPr>
      <w:outlineLvl w:val="0"/>
    </w:pPr>
    <w:rPr>
      <w:b/>
      <w:sz w:val="52"/>
      <w:szCs w:val="52"/>
    </w:rPr>
  </w:style>
  <w:style w:type="paragraph" w:styleId="Heading2">
    <w:name w:val="heading 2"/>
    <w:basedOn w:val="Heading21"/>
    <w:next w:val="Normal"/>
    <w:link w:val="Heading2Char"/>
    <w:autoRedefine/>
    <w:qFormat/>
    <w:rsid w:val="00702AA3"/>
    <w:pPr>
      <w:tabs>
        <w:tab w:val="left" w:pos="284"/>
        <w:tab w:val="left" w:pos="993"/>
      </w:tabs>
      <w:outlineLvl w:val="1"/>
    </w:pPr>
    <w:rPr>
      <w:color w:val="193C68"/>
      <w:sz w:val="40"/>
      <w:szCs w:val="40"/>
    </w:rPr>
  </w:style>
  <w:style w:type="paragraph" w:styleId="Heading3">
    <w:name w:val="heading 3"/>
    <w:basedOn w:val="Heading31"/>
    <w:next w:val="Normal"/>
    <w:link w:val="Heading3Char"/>
    <w:qFormat/>
    <w:rsid w:val="002D5C65"/>
    <w:pPr>
      <w:tabs>
        <w:tab w:val="left" w:pos="1418"/>
      </w:tabs>
      <w:spacing w:before="360"/>
      <w:outlineLvl w:val="2"/>
    </w:pPr>
    <w:rPr>
      <w:rFonts w:eastAsia="Calibri"/>
      <w:b w:val="0"/>
      <w:color w:val="44546A" w:themeColor="text2"/>
      <w:sz w:val="32"/>
      <w:szCs w:val="32"/>
      <w:lang w:eastAsia="en-US"/>
    </w:rPr>
  </w:style>
  <w:style w:type="paragraph" w:styleId="Heading4">
    <w:name w:val="heading 4"/>
    <w:basedOn w:val="Normal"/>
    <w:next w:val="Normal"/>
    <w:link w:val="Heading4Char"/>
    <w:qFormat/>
    <w:rsid w:val="00691B23"/>
    <w:pPr>
      <w:spacing w:before="240" w:after="60"/>
      <w:outlineLvl w:val="3"/>
    </w:pPr>
    <w:rPr>
      <w:b/>
      <w:sz w:val="24"/>
      <w:szCs w:val="24"/>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72268"/>
    <w:rPr>
      <w:rFonts w:ascii="Arial" w:eastAsia="Times New Roman" w:hAnsi="Arial" w:cs="Arial"/>
      <w:b/>
      <w:noProof/>
      <w:color w:val="0090A3"/>
      <w:sz w:val="52"/>
      <w:szCs w:val="52"/>
      <w:lang w:eastAsia="en-AU"/>
    </w:rPr>
  </w:style>
  <w:style w:type="character" w:customStyle="1" w:styleId="Heading2Char">
    <w:name w:val="Heading 2 Char"/>
    <w:basedOn w:val="DefaultParagraphFont"/>
    <w:link w:val="Heading2"/>
    <w:rsid w:val="00702AA3"/>
    <w:rPr>
      <w:rFonts w:ascii="Arial" w:eastAsia="Times New Roman" w:hAnsi="Arial" w:cs="Arial"/>
      <w:b/>
      <w:bCs/>
      <w:color w:val="193C68"/>
      <w:kern w:val="32"/>
      <w:sz w:val="40"/>
      <w:szCs w:val="40"/>
      <w:lang w:eastAsia="en-AU"/>
    </w:rPr>
  </w:style>
  <w:style w:type="character" w:customStyle="1" w:styleId="Heading3Char">
    <w:name w:val="Heading 3 Char"/>
    <w:basedOn w:val="DefaultParagraphFont"/>
    <w:link w:val="Heading3"/>
    <w:rsid w:val="002D5C65"/>
    <w:rPr>
      <w:rFonts w:ascii="Arial" w:eastAsia="Calibri" w:hAnsi="Arial" w:cs="Arial"/>
      <w:noProof/>
      <w:color w:val="44546A" w:themeColor="text2"/>
      <w:sz w:val="32"/>
      <w:szCs w:val="32"/>
    </w:rPr>
  </w:style>
  <w:style w:type="character" w:customStyle="1" w:styleId="Heading4Char">
    <w:name w:val="Heading 4 Char"/>
    <w:basedOn w:val="DefaultParagraphFont"/>
    <w:link w:val="Heading4"/>
    <w:rsid w:val="00691B23"/>
    <w:rPr>
      <w:rFonts w:ascii="Arial" w:eastAsia="Times New Roman" w:hAnsi="Arial" w:cs="Arial"/>
      <w:b/>
      <w:noProof/>
      <w:color w:val="000000" w:themeColor="text1"/>
      <w:sz w:val="24"/>
      <w:szCs w:val="24"/>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5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BF4DC0"/>
    <w:pPr>
      <w:tabs>
        <w:tab w:val="clear" w:pos="-3060"/>
        <w:tab w:val="clear" w:pos="-2340"/>
        <w:tab w:val="clear" w:pos="6300"/>
        <w:tab w:val="right" w:leader="dot" w:pos="9628"/>
      </w:tabs>
      <w:spacing w:after="100"/>
    </w:pPr>
    <w:rPr>
      <w:b/>
    </w:rPr>
  </w:style>
  <w:style w:type="paragraph" w:styleId="TOC3">
    <w:name w:val="toc 3"/>
    <w:basedOn w:val="Normal"/>
    <w:next w:val="Normal"/>
    <w:autoRedefine/>
    <w:uiPriority w:val="39"/>
    <w:unhideWhenUsed/>
    <w:rsid w:val="00BF4DC0"/>
    <w:pPr>
      <w:tabs>
        <w:tab w:val="clear" w:pos="-3060"/>
        <w:tab w:val="clear" w:pos="-2340"/>
        <w:tab w:val="clear" w:pos="6300"/>
        <w:tab w:val="right" w:leader="dot" w:pos="9628"/>
      </w:tabs>
      <w:spacing w:after="100"/>
      <w:ind w:left="709"/>
    </w:pPr>
  </w:style>
  <w:style w:type="paragraph" w:styleId="TOC2">
    <w:name w:val="toc 2"/>
    <w:basedOn w:val="Normal"/>
    <w:next w:val="Normal"/>
    <w:autoRedefine/>
    <w:uiPriority w:val="39"/>
    <w:unhideWhenUsed/>
    <w:rsid w:val="00BF4DC0"/>
    <w:pPr>
      <w:tabs>
        <w:tab w:val="clear" w:pos="-3060"/>
        <w:tab w:val="clear" w:pos="-2340"/>
        <w:tab w:val="clear" w:pos="6300"/>
        <w:tab w:val="right" w:leader="dot" w:pos="9628"/>
      </w:tabs>
      <w:spacing w:after="100"/>
      <w:ind w:left="1276" w:hanging="567"/>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13165"/>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C13165"/>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7662B1"/>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customStyle="1" w:styleId="UnresolvedMention1">
    <w:name w:val="Unresolved Mention1"/>
    <w:basedOn w:val="DefaultParagraphFont"/>
    <w:uiPriority w:val="99"/>
    <w:semiHidden/>
    <w:unhideWhenUsed/>
    <w:rsid w:val="002E0222"/>
    <w:rPr>
      <w:color w:val="808080"/>
      <w:shd w:val="clear" w:color="auto" w:fill="E6E6E6"/>
    </w:rPr>
  </w:style>
  <w:style w:type="paragraph" w:customStyle="1" w:styleId="Style2">
    <w:name w:val="Style2"/>
    <w:basedOn w:val="Normal"/>
    <w:qFormat/>
    <w:rsid w:val="0054216C"/>
    <w:pPr>
      <w:keepNext/>
      <w:keepLines/>
      <w:tabs>
        <w:tab w:val="clear" w:pos="-3060"/>
        <w:tab w:val="clear" w:pos="-2340"/>
        <w:tab w:val="clear" w:pos="6300"/>
      </w:tabs>
      <w:suppressAutoHyphens w:val="0"/>
      <w:spacing w:after="4" w:line="256" w:lineRule="auto"/>
      <w:ind w:firstLine="360"/>
      <w:outlineLvl w:val="2"/>
    </w:pPr>
    <w:rPr>
      <w:rFonts w:eastAsia="Arial"/>
      <w:noProof w:val="0"/>
      <w:color w:val="5B9BD5" w:themeColor="accent1"/>
      <w:sz w:val="28"/>
      <w:szCs w:val="28"/>
      <w:lang w:eastAsia="en-US"/>
    </w:rPr>
  </w:style>
  <w:style w:type="paragraph" w:customStyle="1" w:styleId="Default">
    <w:name w:val="Default"/>
    <w:rsid w:val="00130EFF"/>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EE08A6"/>
    <w:pPr>
      <w:spacing w:after="200"/>
    </w:pPr>
    <w:rPr>
      <w:i/>
      <w:iCs/>
      <w:color w:val="44546A" w:themeColor="text2"/>
      <w:sz w:val="18"/>
      <w:szCs w:val="18"/>
    </w:rPr>
  </w:style>
  <w:style w:type="paragraph" w:styleId="TableofFigures">
    <w:name w:val="table of figures"/>
    <w:basedOn w:val="Normal"/>
    <w:next w:val="Normal"/>
    <w:uiPriority w:val="99"/>
    <w:unhideWhenUsed/>
    <w:rsid w:val="00EE08A6"/>
    <w:pPr>
      <w:tabs>
        <w:tab w:val="clear" w:pos="-3060"/>
        <w:tab w:val="clear" w:pos="-2340"/>
        <w:tab w:val="clear" w:pos="6300"/>
      </w:tabs>
      <w:spacing w:after="0"/>
    </w:pPr>
  </w:style>
  <w:style w:type="character" w:styleId="FollowedHyperlink">
    <w:name w:val="FollowedHyperlink"/>
    <w:basedOn w:val="DefaultParagraphFont"/>
    <w:uiPriority w:val="99"/>
    <w:semiHidden/>
    <w:unhideWhenUsed/>
    <w:rsid w:val="00B17727"/>
    <w:rPr>
      <w:color w:val="954F72" w:themeColor="followedHyperlink"/>
      <w:u w:val="single"/>
    </w:rPr>
  </w:style>
  <w:style w:type="table" w:customStyle="1" w:styleId="TableContemporary1">
    <w:name w:val="Table Contemporary1"/>
    <w:basedOn w:val="TableNormal"/>
    <w:next w:val="TableContemporary"/>
    <w:rsid w:val="004F20D9"/>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UnresolvedMention2">
    <w:name w:val="Unresolved Mention2"/>
    <w:basedOn w:val="DefaultParagraphFont"/>
    <w:uiPriority w:val="99"/>
    <w:semiHidden/>
    <w:unhideWhenUsed/>
    <w:rsid w:val="00216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34611125">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39411414">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30567167">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8725545">
      <w:bodyDiv w:val="1"/>
      <w:marLeft w:val="0"/>
      <w:marRight w:val="0"/>
      <w:marTop w:val="0"/>
      <w:marBottom w:val="0"/>
      <w:divBdr>
        <w:top w:val="none" w:sz="0" w:space="0" w:color="auto"/>
        <w:left w:val="none" w:sz="0" w:space="0" w:color="auto"/>
        <w:bottom w:val="none" w:sz="0" w:space="0" w:color="auto"/>
        <w:right w:val="none" w:sz="0" w:space="0" w:color="auto"/>
      </w:divBdr>
    </w:div>
    <w:div w:id="499276162">
      <w:bodyDiv w:val="1"/>
      <w:marLeft w:val="0"/>
      <w:marRight w:val="0"/>
      <w:marTop w:val="0"/>
      <w:marBottom w:val="0"/>
      <w:divBdr>
        <w:top w:val="none" w:sz="0" w:space="0" w:color="auto"/>
        <w:left w:val="none" w:sz="0" w:space="0" w:color="auto"/>
        <w:bottom w:val="none" w:sz="0" w:space="0" w:color="auto"/>
        <w:right w:val="none" w:sz="0" w:space="0" w:color="auto"/>
      </w:divBdr>
    </w:div>
    <w:div w:id="49978182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28183835">
      <w:bodyDiv w:val="1"/>
      <w:marLeft w:val="0"/>
      <w:marRight w:val="0"/>
      <w:marTop w:val="0"/>
      <w:marBottom w:val="0"/>
      <w:divBdr>
        <w:top w:val="none" w:sz="0" w:space="0" w:color="auto"/>
        <w:left w:val="none" w:sz="0" w:space="0" w:color="auto"/>
        <w:bottom w:val="none" w:sz="0" w:space="0" w:color="auto"/>
        <w:right w:val="none" w:sz="0" w:space="0" w:color="auto"/>
      </w:divBdr>
    </w:div>
    <w:div w:id="606692164">
      <w:bodyDiv w:val="1"/>
      <w:marLeft w:val="0"/>
      <w:marRight w:val="0"/>
      <w:marTop w:val="0"/>
      <w:marBottom w:val="0"/>
      <w:divBdr>
        <w:top w:val="none" w:sz="0" w:space="0" w:color="auto"/>
        <w:left w:val="none" w:sz="0" w:space="0" w:color="auto"/>
        <w:bottom w:val="none" w:sz="0" w:space="0" w:color="auto"/>
        <w:right w:val="none" w:sz="0" w:space="0" w:color="auto"/>
      </w:divBdr>
      <w:divsChild>
        <w:div w:id="145052817">
          <w:marLeft w:val="0"/>
          <w:marRight w:val="0"/>
          <w:marTop w:val="0"/>
          <w:marBottom w:val="0"/>
          <w:divBdr>
            <w:top w:val="none" w:sz="0" w:space="0" w:color="auto"/>
            <w:left w:val="none" w:sz="0" w:space="0" w:color="auto"/>
            <w:bottom w:val="none" w:sz="0" w:space="0" w:color="auto"/>
            <w:right w:val="none" w:sz="0" w:space="0" w:color="auto"/>
          </w:divBdr>
          <w:divsChild>
            <w:div w:id="1777216685">
              <w:marLeft w:val="0"/>
              <w:marRight w:val="0"/>
              <w:marTop w:val="0"/>
              <w:marBottom w:val="0"/>
              <w:divBdr>
                <w:top w:val="none" w:sz="0" w:space="0" w:color="auto"/>
                <w:left w:val="none" w:sz="0" w:space="0" w:color="auto"/>
                <w:bottom w:val="none" w:sz="0" w:space="0" w:color="auto"/>
                <w:right w:val="none" w:sz="0" w:space="0" w:color="auto"/>
              </w:divBdr>
            </w:div>
            <w:div w:id="413740752">
              <w:marLeft w:val="0"/>
              <w:marRight w:val="0"/>
              <w:marTop w:val="0"/>
              <w:marBottom w:val="0"/>
              <w:divBdr>
                <w:top w:val="none" w:sz="0" w:space="0" w:color="auto"/>
                <w:left w:val="none" w:sz="0" w:space="0" w:color="auto"/>
                <w:bottom w:val="none" w:sz="0" w:space="0" w:color="auto"/>
                <w:right w:val="none" w:sz="0" w:space="0" w:color="auto"/>
              </w:divBdr>
              <w:divsChild>
                <w:div w:id="1813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2956">
          <w:marLeft w:val="0"/>
          <w:marRight w:val="0"/>
          <w:marTop w:val="0"/>
          <w:marBottom w:val="0"/>
          <w:divBdr>
            <w:top w:val="none" w:sz="0" w:space="0" w:color="auto"/>
            <w:left w:val="none" w:sz="0" w:space="0" w:color="auto"/>
            <w:bottom w:val="none" w:sz="0" w:space="0" w:color="auto"/>
            <w:right w:val="none" w:sz="0" w:space="0" w:color="auto"/>
          </w:divBdr>
        </w:div>
      </w:divsChild>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1521472">
      <w:bodyDiv w:val="1"/>
      <w:marLeft w:val="0"/>
      <w:marRight w:val="0"/>
      <w:marTop w:val="0"/>
      <w:marBottom w:val="0"/>
      <w:divBdr>
        <w:top w:val="none" w:sz="0" w:space="0" w:color="auto"/>
        <w:left w:val="none" w:sz="0" w:space="0" w:color="auto"/>
        <w:bottom w:val="none" w:sz="0" w:space="0" w:color="auto"/>
        <w:right w:val="none" w:sz="0" w:space="0" w:color="auto"/>
      </w:divBdr>
    </w:div>
    <w:div w:id="653488111">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34397180">
      <w:bodyDiv w:val="1"/>
      <w:marLeft w:val="0"/>
      <w:marRight w:val="0"/>
      <w:marTop w:val="0"/>
      <w:marBottom w:val="0"/>
      <w:divBdr>
        <w:top w:val="none" w:sz="0" w:space="0" w:color="auto"/>
        <w:left w:val="none" w:sz="0" w:space="0" w:color="auto"/>
        <w:bottom w:val="none" w:sz="0" w:space="0" w:color="auto"/>
        <w:right w:val="none" w:sz="0" w:space="0" w:color="auto"/>
      </w:divBdr>
    </w:div>
    <w:div w:id="768507576">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0347224">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197961879">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5318123">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0924971">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52252311">
      <w:bodyDiv w:val="1"/>
      <w:marLeft w:val="0"/>
      <w:marRight w:val="0"/>
      <w:marTop w:val="0"/>
      <w:marBottom w:val="0"/>
      <w:divBdr>
        <w:top w:val="none" w:sz="0" w:space="0" w:color="auto"/>
        <w:left w:val="none" w:sz="0" w:space="0" w:color="auto"/>
        <w:bottom w:val="none" w:sz="0" w:space="0" w:color="auto"/>
        <w:right w:val="none" w:sz="0" w:space="0" w:color="auto"/>
      </w:divBdr>
    </w:div>
    <w:div w:id="1655596656">
      <w:bodyDiv w:val="1"/>
      <w:marLeft w:val="0"/>
      <w:marRight w:val="0"/>
      <w:marTop w:val="0"/>
      <w:marBottom w:val="0"/>
      <w:divBdr>
        <w:top w:val="none" w:sz="0" w:space="0" w:color="auto"/>
        <w:left w:val="none" w:sz="0" w:space="0" w:color="auto"/>
        <w:bottom w:val="none" w:sz="0" w:space="0" w:color="auto"/>
        <w:right w:val="none" w:sz="0" w:space="0" w:color="auto"/>
      </w:divBdr>
    </w:div>
    <w:div w:id="1687823971">
      <w:bodyDiv w:val="1"/>
      <w:marLeft w:val="0"/>
      <w:marRight w:val="0"/>
      <w:marTop w:val="0"/>
      <w:marBottom w:val="0"/>
      <w:divBdr>
        <w:top w:val="none" w:sz="0" w:space="0" w:color="auto"/>
        <w:left w:val="none" w:sz="0" w:space="0" w:color="auto"/>
        <w:bottom w:val="none" w:sz="0" w:space="0" w:color="auto"/>
        <w:right w:val="none" w:sz="0" w:space="0" w:color="auto"/>
      </w:divBdr>
    </w:div>
    <w:div w:id="1735161077">
      <w:bodyDiv w:val="1"/>
      <w:marLeft w:val="0"/>
      <w:marRight w:val="0"/>
      <w:marTop w:val="0"/>
      <w:marBottom w:val="0"/>
      <w:divBdr>
        <w:top w:val="none" w:sz="0" w:space="0" w:color="auto"/>
        <w:left w:val="none" w:sz="0" w:space="0" w:color="auto"/>
        <w:bottom w:val="none" w:sz="0" w:space="0" w:color="auto"/>
        <w:right w:val="none" w:sz="0" w:space="0" w:color="auto"/>
      </w:divBdr>
    </w:div>
    <w:div w:id="1827552048">
      <w:bodyDiv w:val="1"/>
      <w:marLeft w:val="0"/>
      <w:marRight w:val="0"/>
      <w:marTop w:val="0"/>
      <w:marBottom w:val="0"/>
      <w:divBdr>
        <w:top w:val="none" w:sz="0" w:space="0" w:color="auto"/>
        <w:left w:val="none" w:sz="0" w:space="0" w:color="auto"/>
        <w:bottom w:val="none" w:sz="0" w:space="0" w:color="auto"/>
        <w:right w:val="none" w:sz="0" w:space="0" w:color="auto"/>
      </w:divBdr>
    </w:div>
    <w:div w:id="1834906175">
      <w:bodyDiv w:val="1"/>
      <w:marLeft w:val="0"/>
      <w:marRight w:val="0"/>
      <w:marTop w:val="0"/>
      <w:marBottom w:val="0"/>
      <w:divBdr>
        <w:top w:val="none" w:sz="0" w:space="0" w:color="auto"/>
        <w:left w:val="none" w:sz="0" w:space="0" w:color="auto"/>
        <w:bottom w:val="none" w:sz="0" w:space="0" w:color="auto"/>
        <w:right w:val="none" w:sz="0" w:space="0" w:color="auto"/>
      </w:divBdr>
    </w:div>
    <w:div w:id="1851797836">
      <w:bodyDiv w:val="1"/>
      <w:marLeft w:val="0"/>
      <w:marRight w:val="0"/>
      <w:marTop w:val="0"/>
      <w:marBottom w:val="0"/>
      <w:divBdr>
        <w:top w:val="none" w:sz="0" w:space="0" w:color="auto"/>
        <w:left w:val="none" w:sz="0" w:space="0" w:color="auto"/>
        <w:bottom w:val="none" w:sz="0" w:space="0" w:color="auto"/>
        <w:right w:val="none" w:sz="0" w:space="0" w:color="auto"/>
      </w:divBdr>
    </w:div>
    <w:div w:id="1902934444">
      <w:bodyDiv w:val="1"/>
      <w:marLeft w:val="0"/>
      <w:marRight w:val="0"/>
      <w:marTop w:val="0"/>
      <w:marBottom w:val="0"/>
      <w:divBdr>
        <w:top w:val="none" w:sz="0" w:space="0" w:color="auto"/>
        <w:left w:val="none" w:sz="0" w:space="0" w:color="auto"/>
        <w:bottom w:val="none" w:sz="0" w:space="0" w:color="auto"/>
        <w:right w:val="none" w:sz="0" w:space="0" w:color="auto"/>
      </w:divBdr>
    </w:div>
    <w:div w:id="1919516386">
      <w:bodyDiv w:val="1"/>
      <w:marLeft w:val="0"/>
      <w:marRight w:val="0"/>
      <w:marTop w:val="0"/>
      <w:marBottom w:val="0"/>
      <w:divBdr>
        <w:top w:val="none" w:sz="0" w:space="0" w:color="auto"/>
        <w:left w:val="none" w:sz="0" w:space="0" w:color="auto"/>
        <w:bottom w:val="none" w:sz="0" w:space="0" w:color="auto"/>
        <w:right w:val="none" w:sz="0" w:space="0" w:color="auto"/>
      </w:divBdr>
    </w:div>
    <w:div w:id="2008972292">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0764886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cyp.vic.gov.au/child-safety/being-a-child-safe-organisation/the-child-safe-standards/" TargetMode="External"/><Relationship Id="rId18" Type="http://schemas.openxmlformats.org/officeDocument/2006/relationships/hyperlink" Target="https://portphillip.smartygrants.com.au/" TargetMode="External"/><Relationship Id="rId26" Type="http://schemas.openxmlformats.org/officeDocument/2006/relationships/hyperlink" Target="mailto:stkall@portphillip.vic.gov.au" TargetMode="External"/><Relationship Id="rId3" Type="http://schemas.openxmlformats.org/officeDocument/2006/relationships/styles" Target="styles.xml"/><Relationship Id="rId21" Type="http://schemas.openxmlformats.org/officeDocument/2006/relationships/hyperlink" Target="https://applicanthelp.smartygrants.com.au/applicant-faq'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cyp.vic.gov.au/child-safety/being-a-child-safe-organisation/the-child-safe-standards/" TargetMode="External"/><Relationship Id="rId17" Type="http://schemas.openxmlformats.org/officeDocument/2006/relationships/hyperlink" Target="file:///C:\Users\ssocha\AppData\Local\Microsoft\Windows\INetCache\Content.Outlook\H5XV3AZ1\SmartyGrants%20Registration%20Page" TargetMode="External"/><Relationship Id="rId25" Type="http://schemas.openxmlformats.org/officeDocument/2006/relationships/hyperlink" Target="https://www.nfplaw.org.au/auspicin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phillip.vic.gov.au/social-justice.htm" TargetMode="External"/><Relationship Id="rId20" Type="http://schemas.openxmlformats.org/officeDocument/2006/relationships/hyperlink" Target="https://applicanthelp.smartygrants.com.au/help-guide-for-applicants/" TargetMode="External"/><Relationship Id="rId29" Type="http://schemas.openxmlformats.org/officeDocument/2006/relationships/hyperlink" Target="http://www.portphillip.vic.gov.au/local-community-centr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Armstrong@portphillip.vic.gov.au" TargetMode="External"/><Relationship Id="rId24" Type="http://schemas.openxmlformats.org/officeDocument/2006/relationships/hyperlink" Target="http://www.consumer.vic.gov.au."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sa.Paton@portphillip.vic.gov.au" TargetMode="External"/><Relationship Id="rId23" Type="http://schemas.openxmlformats.org/officeDocument/2006/relationships/hyperlink" Target="mailto:grants@portphillip.vic.gov.au" TargetMode="External"/><Relationship Id="rId28" Type="http://schemas.openxmlformats.org/officeDocument/2006/relationships/hyperlink" Target="mailto:grants@portphillip.vic.gov.au" TargetMode="External"/><Relationship Id="rId36" Type="http://schemas.openxmlformats.org/officeDocument/2006/relationships/footer" Target="footer2.xml"/><Relationship Id="rId10" Type="http://schemas.openxmlformats.org/officeDocument/2006/relationships/hyperlink" Target="https://www.and.org.au/pages/event-checklist.html" TargetMode="External"/><Relationship Id="rId19" Type="http://schemas.openxmlformats.org/officeDocument/2006/relationships/hyperlink" Target="https://applicanthelp.smartygrants.com.au/help-guide-for-applicants/" TargetMode="External"/><Relationship Id="rId31" Type="http://schemas.openxmlformats.org/officeDocument/2006/relationships/hyperlink" Target="http://www.portphillip.vic.gov.au/town-hall-subsidy-scheme.htm" TargetMode="External"/><Relationship Id="rId4" Type="http://schemas.openxmlformats.org/officeDocument/2006/relationships/settings" Target="settings.xml"/><Relationship Id="rId9" Type="http://schemas.openxmlformats.org/officeDocument/2006/relationships/hyperlink" Target="http://www.portphillip.vic.gov.au/council_plan_budget.htm" TargetMode="External"/><Relationship Id="rId14" Type="http://schemas.openxmlformats.org/officeDocument/2006/relationships/hyperlink" Target="mailto:samantha.neville@portphillip.vic.gov.au" TargetMode="External"/><Relationship Id="rId22" Type="http://schemas.openxmlformats.org/officeDocument/2006/relationships/hyperlink" Target="https://applicanthelp.smartygrants.com.au/applicant-faq's/" TargetMode="External"/><Relationship Id="rId27" Type="http://schemas.openxmlformats.org/officeDocument/2006/relationships/hyperlink" Target="http://www.portphillip.vic.gov.au/town_hall_hire.htm" TargetMode="External"/><Relationship Id="rId30" Type="http://schemas.openxmlformats.org/officeDocument/2006/relationships/image" Target="media/image2.jpeg"/><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fplaw.org.au/auspicing" TargetMode="External"/><Relationship Id="rId1" Type="http://schemas.openxmlformats.org/officeDocument/2006/relationships/hyperlink" Target="http://www.consumer.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1B4D-C51B-4768-B111-6D67EDE4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Emma Blackford</cp:lastModifiedBy>
  <cp:revision>19</cp:revision>
  <cp:lastPrinted>2020-02-25T00:25:00Z</cp:lastPrinted>
  <dcterms:created xsi:type="dcterms:W3CDTF">2020-02-13T23:28:00Z</dcterms:created>
  <dcterms:modified xsi:type="dcterms:W3CDTF">2020-11-16T23:49:00Z</dcterms:modified>
</cp:coreProperties>
</file>