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CD70" w14:textId="46E0D2DF" w:rsidR="00D87DCF" w:rsidRPr="00600776" w:rsidRDefault="007B2F41" w:rsidP="00600776">
      <w:pPr>
        <w:spacing w:after="240"/>
        <w:jc w:val="center"/>
        <w:rPr>
          <w:color w:val="196BAC"/>
          <w:sz w:val="40"/>
          <w:szCs w:val="40"/>
        </w:rPr>
      </w:pPr>
      <w:r>
        <w:rPr>
          <w:color w:val="196BAC"/>
          <w:sz w:val="40"/>
          <w:szCs w:val="40"/>
        </w:rPr>
        <w:t xml:space="preserve">Financial Hardship </w:t>
      </w:r>
      <w:r w:rsidR="00757457">
        <w:rPr>
          <w:color w:val="196BAC"/>
          <w:sz w:val="40"/>
          <w:szCs w:val="40"/>
        </w:rPr>
        <w:t xml:space="preserve">Policy </w:t>
      </w:r>
      <w:r>
        <w:rPr>
          <w:color w:val="196BAC"/>
          <w:sz w:val="40"/>
          <w:szCs w:val="40"/>
        </w:rPr>
        <w:t>– Rates and Charges</w:t>
      </w:r>
    </w:p>
    <w:tbl>
      <w:tblPr>
        <w:tblStyle w:val="TableGrid"/>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218"/>
      </w:tblGrid>
      <w:tr w:rsidR="00815673" w:rsidRPr="005A783D" w14:paraId="1026D568" w14:textId="77777777" w:rsidTr="0045687F">
        <w:tc>
          <w:tcPr>
            <w:tcW w:w="2552" w:type="dxa"/>
          </w:tcPr>
          <w:p w14:paraId="1EAE9CD8" w14:textId="7B223E0F" w:rsidR="00815673" w:rsidRPr="005A783D" w:rsidRDefault="00815673" w:rsidP="006D2E73">
            <w:pPr>
              <w:spacing w:before="40" w:after="40"/>
              <w:rPr>
                <w:rFonts w:cs="Arial"/>
              </w:rPr>
            </w:pPr>
            <w:r w:rsidRPr="005A783D">
              <w:rPr>
                <w:rFonts w:cs="Arial"/>
              </w:rPr>
              <w:t>Policy outcome</w:t>
            </w:r>
            <w:r w:rsidR="00707BF5">
              <w:rPr>
                <w:rFonts w:cs="Arial"/>
              </w:rPr>
              <w:t>:</w:t>
            </w:r>
          </w:p>
        </w:tc>
        <w:tc>
          <w:tcPr>
            <w:tcW w:w="7218" w:type="dxa"/>
          </w:tcPr>
          <w:p w14:paraId="127F00F1" w14:textId="66FEA0A4" w:rsidR="00815673" w:rsidRPr="005A783D" w:rsidRDefault="000C3E9D" w:rsidP="006D2E73">
            <w:pPr>
              <w:spacing w:before="40" w:after="40"/>
            </w:pPr>
            <w:r>
              <w:t>A transparent and consistent framework for assessing and providing support to ratepayers experiencing financial hardship in relation to the payment of rates and charges.</w:t>
            </w:r>
          </w:p>
        </w:tc>
      </w:tr>
      <w:tr w:rsidR="00815673" w:rsidRPr="005A783D" w14:paraId="17140B4F" w14:textId="77777777" w:rsidTr="0045687F">
        <w:tc>
          <w:tcPr>
            <w:tcW w:w="2552" w:type="dxa"/>
          </w:tcPr>
          <w:p w14:paraId="7F5886AE" w14:textId="6BB3B2B1" w:rsidR="00815673" w:rsidRPr="005A783D" w:rsidRDefault="00815673" w:rsidP="006D2E73">
            <w:pPr>
              <w:spacing w:before="40" w:after="40"/>
              <w:rPr>
                <w:rFonts w:cs="Arial"/>
              </w:rPr>
            </w:pPr>
            <w:r w:rsidRPr="005A783D">
              <w:rPr>
                <w:rFonts w:cs="Arial"/>
              </w:rPr>
              <w:t>Responsible area</w:t>
            </w:r>
            <w:r w:rsidR="00707BF5">
              <w:rPr>
                <w:rFonts w:cs="Arial"/>
              </w:rPr>
              <w:t>:</w:t>
            </w:r>
          </w:p>
        </w:tc>
        <w:tc>
          <w:tcPr>
            <w:tcW w:w="7218" w:type="dxa"/>
          </w:tcPr>
          <w:p w14:paraId="116D6451" w14:textId="0E8E1A1E" w:rsidR="00815673" w:rsidRPr="005A783D" w:rsidRDefault="000C3E9D" w:rsidP="006D2E73">
            <w:pPr>
              <w:spacing w:before="40" w:after="40"/>
            </w:pPr>
            <w:r>
              <w:t>Finance</w:t>
            </w:r>
          </w:p>
        </w:tc>
      </w:tr>
      <w:tr w:rsidR="00815673" w:rsidRPr="005A783D" w14:paraId="494C57DC" w14:textId="77777777" w:rsidTr="0045687F">
        <w:tc>
          <w:tcPr>
            <w:tcW w:w="2552" w:type="dxa"/>
          </w:tcPr>
          <w:p w14:paraId="770291F1" w14:textId="67DB2A35" w:rsidR="00815673" w:rsidRPr="005A783D" w:rsidRDefault="00815673" w:rsidP="006D2E73">
            <w:pPr>
              <w:spacing w:before="40" w:after="40"/>
              <w:rPr>
                <w:rFonts w:cs="Arial"/>
              </w:rPr>
            </w:pPr>
            <w:r w:rsidRPr="005A783D">
              <w:rPr>
                <w:rFonts w:cs="Arial"/>
              </w:rPr>
              <w:t>Version</w:t>
            </w:r>
            <w:r w:rsidR="00707BF5">
              <w:rPr>
                <w:rFonts w:cs="Arial"/>
              </w:rPr>
              <w:t>:</w:t>
            </w:r>
          </w:p>
        </w:tc>
        <w:tc>
          <w:tcPr>
            <w:tcW w:w="7218" w:type="dxa"/>
          </w:tcPr>
          <w:p w14:paraId="72255985" w14:textId="20BF9482" w:rsidR="00815673" w:rsidRPr="005A783D" w:rsidRDefault="002F61E3" w:rsidP="006D2E73">
            <w:pPr>
              <w:spacing w:before="40" w:after="40"/>
            </w:pPr>
            <w:r>
              <w:t>V5</w:t>
            </w:r>
          </w:p>
        </w:tc>
      </w:tr>
      <w:tr w:rsidR="00815673" w:rsidRPr="005A783D" w14:paraId="213F7A68" w14:textId="77777777" w:rsidTr="0045687F">
        <w:tc>
          <w:tcPr>
            <w:tcW w:w="2552" w:type="dxa"/>
          </w:tcPr>
          <w:p w14:paraId="10D37561" w14:textId="5DEF2179" w:rsidR="00815673" w:rsidRPr="005A783D" w:rsidRDefault="00815673" w:rsidP="00255002">
            <w:pPr>
              <w:spacing w:before="40" w:after="40"/>
              <w:ind w:right="-111"/>
              <w:rPr>
                <w:rFonts w:cs="Arial"/>
              </w:rPr>
            </w:pPr>
            <w:r w:rsidRPr="005A783D">
              <w:rPr>
                <w:rFonts w:cs="Arial"/>
              </w:rPr>
              <w:t>Date approved/adopted</w:t>
            </w:r>
            <w:r w:rsidR="00707BF5">
              <w:rPr>
                <w:rFonts w:cs="Arial"/>
              </w:rPr>
              <w:t>:</w:t>
            </w:r>
          </w:p>
        </w:tc>
        <w:tc>
          <w:tcPr>
            <w:tcW w:w="7218" w:type="dxa"/>
          </w:tcPr>
          <w:p w14:paraId="6CE4BB8D" w14:textId="4F62BB3F" w:rsidR="00815673" w:rsidRPr="00F11741" w:rsidRDefault="00F11741" w:rsidP="006D2E73">
            <w:pPr>
              <w:spacing w:before="40" w:after="40"/>
            </w:pPr>
            <w:r>
              <w:t>Septemb</w:t>
            </w:r>
            <w:r w:rsidR="002F61E3" w:rsidRPr="00F11741">
              <w:t>er 2025</w:t>
            </w:r>
          </w:p>
        </w:tc>
      </w:tr>
      <w:tr w:rsidR="00815673" w:rsidRPr="005A783D" w14:paraId="2A70E7C6" w14:textId="77777777" w:rsidTr="0045687F">
        <w:tc>
          <w:tcPr>
            <w:tcW w:w="2552" w:type="dxa"/>
          </w:tcPr>
          <w:p w14:paraId="1B47BABB" w14:textId="1C14C2DA" w:rsidR="00815673" w:rsidRPr="005A783D" w:rsidRDefault="00815673" w:rsidP="006D2E73">
            <w:pPr>
              <w:spacing w:before="40" w:after="40"/>
              <w:rPr>
                <w:rFonts w:cs="Arial"/>
              </w:rPr>
            </w:pPr>
            <w:r w:rsidRPr="005A783D">
              <w:rPr>
                <w:rFonts w:cs="Arial"/>
              </w:rPr>
              <w:t>Planned review date</w:t>
            </w:r>
            <w:r w:rsidR="00255002">
              <w:rPr>
                <w:rFonts w:cs="Arial"/>
              </w:rPr>
              <w:t>:</w:t>
            </w:r>
          </w:p>
        </w:tc>
        <w:tc>
          <w:tcPr>
            <w:tcW w:w="7218" w:type="dxa"/>
          </w:tcPr>
          <w:p w14:paraId="697608D5" w14:textId="516E41D3" w:rsidR="00815673" w:rsidRPr="00F11741" w:rsidRDefault="002F61E3" w:rsidP="006D2E73">
            <w:pPr>
              <w:spacing w:before="40" w:after="40"/>
            </w:pPr>
            <w:r w:rsidRPr="00F11741">
              <w:t>October 2026</w:t>
            </w:r>
          </w:p>
        </w:tc>
      </w:tr>
    </w:tbl>
    <w:p w14:paraId="03256A0D" w14:textId="77777777" w:rsidR="006F3A9F" w:rsidRDefault="006F3A9F">
      <w:pPr>
        <w:rPr>
          <w:rFonts w:cs="Arial"/>
          <w:sz w:val="20"/>
          <w:szCs w:val="20"/>
          <w:highlight w:val="yellow"/>
        </w:rPr>
      </w:pPr>
    </w:p>
    <w:sdt>
      <w:sdtPr>
        <w:rPr>
          <w:rFonts w:eastAsiaTheme="minorEastAsia" w:cstheme="minorBidi"/>
          <w:color w:val="auto"/>
          <w:sz w:val="22"/>
          <w:szCs w:val="22"/>
          <w:lang w:val="en-AU"/>
        </w:rPr>
        <w:id w:val="1352763898"/>
        <w:docPartObj>
          <w:docPartGallery w:val="Table of Contents"/>
          <w:docPartUnique/>
        </w:docPartObj>
      </w:sdtPr>
      <w:sdtEndPr>
        <w:rPr>
          <w:b/>
          <w:bCs/>
          <w:noProof/>
        </w:rPr>
      </w:sdtEndPr>
      <w:sdtContent>
        <w:p w14:paraId="01417C7E" w14:textId="12497D19" w:rsidR="007C15FE" w:rsidRDefault="007C15FE" w:rsidP="009E59D9">
          <w:pPr>
            <w:pStyle w:val="TOCHeading"/>
          </w:pPr>
          <w:r>
            <w:t>Table of Contents</w:t>
          </w:r>
        </w:p>
        <w:p w14:paraId="3D059445" w14:textId="34260118" w:rsidR="00E64331" w:rsidRDefault="007C15FE">
          <w:pPr>
            <w:pStyle w:val="TOC1"/>
            <w:rPr>
              <w:rFonts w:asciiTheme="minorHAnsi" w:hAnsiTheme="minorHAnsi" w:cstheme="minorBidi"/>
              <w:noProof/>
              <w:kern w:val="2"/>
              <w:sz w:val="24"/>
              <w:szCs w:val="24"/>
              <w:lang w:val="en-AU" w:eastAsia="en-AU"/>
              <w14:ligatures w14:val="standardContextual"/>
            </w:rPr>
          </w:pPr>
          <w:r>
            <w:fldChar w:fldCharType="begin"/>
          </w:r>
          <w:r>
            <w:instrText xml:space="preserve"> TOC \o "1-3" \h \z \u </w:instrText>
          </w:r>
          <w:r>
            <w:fldChar w:fldCharType="separate"/>
          </w:r>
          <w:hyperlink w:anchor="_Toc207112784" w:history="1">
            <w:r w:rsidR="00E64331" w:rsidRPr="00EB7A64">
              <w:rPr>
                <w:rStyle w:val="Hyperlink"/>
                <w:noProof/>
              </w:rPr>
              <w:t>1.</w:t>
            </w:r>
            <w:r w:rsidR="00E64331">
              <w:rPr>
                <w:rFonts w:asciiTheme="minorHAnsi" w:hAnsiTheme="minorHAnsi" w:cstheme="minorBidi"/>
                <w:noProof/>
                <w:kern w:val="2"/>
                <w:sz w:val="24"/>
                <w:szCs w:val="24"/>
                <w:lang w:val="en-AU" w:eastAsia="en-AU"/>
                <w14:ligatures w14:val="standardContextual"/>
              </w:rPr>
              <w:tab/>
            </w:r>
            <w:r w:rsidR="00E64331" w:rsidRPr="00EB7A64">
              <w:rPr>
                <w:rStyle w:val="Hyperlink"/>
                <w:noProof/>
              </w:rPr>
              <w:t>Purpose</w:t>
            </w:r>
            <w:r w:rsidR="00E64331">
              <w:rPr>
                <w:noProof/>
                <w:webHidden/>
              </w:rPr>
              <w:tab/>
            </w:r>
            <w:r w:rsidR="00E64331">
              <w:rPr>
                <w:noProof/>
                <w:webHidden/>
              </w:rPr>
              <w:fldChar w:fldCharType="begin"/>
            </w:r>
            <w:r w:rsidR="00E64331">
              <w:rPr>
                <w:noProof/>
                <w:webHidden/>
              </w:rPr>
              <w:instrText xml:space="preserve"> PAGEREF _Toc207112784 \h </w:instrText>
            </w:r>
            <w:r w:rsidR="00E64331">
              <w:rPr>
                <w:noProof/>
                <w:webHidden/>
              </w:rPr>
            </w:r>
            <w:r w:rsidR="00E64331">
              <w:rPr>
                <w:noProof/>
                <w:webHidden/>
              </w:rPr>
              <w:fldChar w:fldCharType="separate"/>
            </w:r>
            <w:r w:rsidR="00E64331">
              <w:rPr>
                <w:noProof/>
                <w:webHidden/>
              </w:rPr>
              <w:t>3</w:t>
            </w:r>
            <w:r w:rsidR="00E64331">
              <w:rPr>
                <w:noProof/>
                <w:webHidden/>
              </w:rPr>
              <w:fldChar w:fldCharType="end"/>
            </w:r>
          </w:hyperlink>
        </w:p>
        <w:p w14:paraId="1A15FD00" w14:textId="3F668BFE" w:rsidR="00E64331" w:rsidRDefault="00E64331">
          <w:pPr>
            <w:pStyle w:val="TOC1"/>
            <w:rPr>
              <w:rFonts w:asciiTheme="minorHAnsi" w:hAnsiTheme="minorHAnsi" w:cstheme="minorBidi"/>
              <w:noProof/>
              <w:kern w:val="2"/>
              <w:sz w:val="24"/>
              <w:szCs w:val="24"/>
              <w:lang w:val="en-AU" w:eastAsia="en-AU"/>
              <w14:ligatures w14:val="standardContextual"/>
            </w:rPr>
          </w:pPr>
          <w:hyperlink w:anchor="_Toc207112785" w:history="1">
            <w:r w:rsidRPr="00EB7A64">
              <w:rPr>
                <w:rStyle w:val="Hyperlink"/>
                <w:noProof/>
              </w:rPr>
              <w:t>2.</w:t>
            </w:r>
            <w:r>
              <w:rPr>
                <w:rFonts w:asciiTheme="minorHAnsi" w:hAnsiTheme="minorHAnsi" w:cstheme="minorBidi"/>
                <w:noProof/>
                <w:kern w:val="2"/>
                <w:sz w:val="24"/>
                <w:szCs w:val="24"/>
                <w:lang w:val="en-AU" w:eastAsia="en-AU"/>
                <w14:ligatures w14:val="standardContextual"/>
              </w:rPr>
              <w:tab/>
            </w:r>
            <w:r w:rsidRPr="00EB7A64">
              <w:rPr>
                <w:rStyle w:val="Hyperlink"/>
                <w:noProof/>
              </w:rPr>
              <w:t>Scope</w:t>
            </w:r>
            <w:r>
              <w:rPr>
                <w:noProof/>
                <w:webHidden/>
              </w:rPr>
              <w:tab/>
            </w:r>
            <w:r>
              <w:rPr>
                <w:noProof/>
                <w:webHidden/>
              </w:rPr>
              <w:fldChar w:fldCharType="begin"/>
            </w:r>
            <w:r>
              <w:rPr>
                <w:noProof/>
                <w:webHidden/>
              </w:rPr>
              <w:instrText xml:space="preserve"> PAGEREF _Toc207112785 \h </w:instrText>
            </w:r>
            <w:r>
              <w:rPr>
                <w:noProof/>
                <w:webHidden/>
              </w:rPr>
            </w:r>
            <w:r>
              <w:rPr>
                <w:noProof/>
                <w:webHidden/>
              </w:rPr>
              <w:fldChar w:fldCharType="separate"/>
            </w:r>
            <w:r>
              <w:rPr>
                <w:noProof/>
                <w:webHidden/>
              </w:rPr>
              <w:t>3</w:t>
            </w:r>
            <w:r>
              <w:rPr>
                <w:noProof/>
                <w:webHidden/>
              </w:rPr>
              <w:fldChar w:fldCharType="end"/>
            </w:r>
          </w:hyperlink>
        </w:p>
        <w:p w14:paraId="5897ABFC" w14:textId="7F30A41D" w:rsidR="00E64331" w:rsidRDefault="00E64331">
          <w:pPr>
            <w:pStyle w:val="TOC1"/>
            <w:rPr>
              <w:rFonts w:asciiTheme="minorHAnsi" w:hAnsiTheme="minorHAnsi" w:cstheme="minorBidi"/>
              <w:noProof/>
              <w:kern w:val="2"/>
              <w:sz w:val="24"/>
              <w:szCs w:val="24"/>
              <w:lang w:val="en-AU" w:eastAsia="en-AU"/>
              <w14:ligatures w14:val="standardContextual"/>
            </w:rPr>
          </w:pPr>
          <w:hyperlink w:anchor="_Toc207112786" w:history="1">
            <w:r w:rsidRPr="00EB7A64">
              <w:rPr>
                <w:rStyle w:val="Hyperlink"/>
                <w:noProof/>
              </w:rPr>
              <w:t>3.</w:t>
            </w:r>
            <w:r>
              <w:rPr>
                <w:rFonts w:asciiTheme="minorHAnsi" w:hAnsiTheme="minorHAnsi" w:cstheme="minorBidi"/>
                <w:noProof/>
                <w:kern w:val="2"/>
                <w:sz w:val="24"/>
                <w:szCs w:val="24"/>
                <w:lang w:val="en-AU" w:eastAsia="en-AU"/>
                <w14:ligatures w14:val="standardContextual"/>
              </w:rPr>
              <w:tab/>
            </w:r>
            <w:r w:rsidRPr="00EB7A64">
              <w:rPr>
                <w:rStyle w:val="Hyperlink"/>
                <w:noProof/>
              </w:rPr>
              <w:t>Prioritised Assistance</w:t>
            </w:r>
            <w:r>
              <w:rPr>
                <w:noProof/>
                <w:webHidden/>
              </w:rPr>
              <w:tab/>
            </w:r>
            <w:r>
              <w:rPr>
                <w:noProof/>
                <w:webHidden/>
              </w:rPr>
              <w:fldChar w:fldCharType="begin"/>
            </w:r>
            <w:r>
              <w:rPr>
                <w:noProof/>
                <w:webHidden/>
              </w:rPr>
              <w:instrText xml:space="preserve"> PAGEREF _Toc207112786 \h </w:instrText>
            </w:r>
            <w:r>
              <w:rPr>
                <w:noProof/>
                <w:webHidden/>
              </w:rPr>
            </w:r>
            <w:r>
              <w:rPr>
                <w:noProof/>
                <w:webHidden/>
              </w:rPr>
              <w:fldChar w:fldCharType="separate"/>
            </w:r>
            <w:r>
              <w:rPr>
                <w:noProof/>
                <w:webHidden/>
              </w:rPr>
              <w:t>3</w:t>
            </w:r>
            <w:r>
              <w:rPr>
                <w:noProof/>
                <w:webHidden/>
              </w:rPr>
              <w:fldChar w:fldCharType="end"/>
            </w:r>
          </w:hyperlink>
        </w:p>
        <w:p w14:paraId="4DADCB39" w14:textId="2674D183" w:rsidR="00E64331" w:rsidRDefault="00E64331">
          <w:pPr>
            <w:pStyle w:val="TOC2"/>
            <w:rPr>
              <w:rFonts w:asciiTheme="minorHAnsi" w:hAnsiTheme="minorHAnsi" w:cstheme="minorBidi"/>
              <w:noProof/>
              <w:kern w:val="2"/>
              <w:sz w:val="24"/>
              <w:szCs w:val="24"/>
              <w:lang w:val="en-AU" w:eastAsia="en-AU"/>
              <w14:ligatures w14:val="standardContextual"/>
            </w:rPr>
          </w:pPr>
          <w:hyperlink w:anchor="_Toc207112787" w:history="1">
            <w:r w:rsidRPr="00EB7A64">
              <w:rPr>
                <w:rStyle w:val="Hyperlink"/>
                <w:noProof/>
                <w:color w:val="023160" w:themeColor="hyperlink" w:themeShade="80"/>
              </w:rPr>
              <w:t>3.1.</w:t>
            </w:r>
            <w:r>
              <w:rPr>
                <w:rFonts w:asciiTheme="minorHAnsi" w:hAnsiTheme="minorHAnsi" w:cstheme="minorBidi"/>
                <w:noProof/>
                <w:kern w:val="2"/>
                <w:sz w:val="24"/>
                <w:szCs w:val="24"/>
                <w:lang w:val="en-AU" w:eastAsia="en-AU"/>
                <w14:ligatures w14:val="standardContextual"/>
              </w:rPr>
              <w:tab/>
            </w:r>
            <w:r w:rsidRPr="00EB7A64">
              <w:rPr>
                <w:rStyle w:val="Hyperlink"/>
                <w:noProof/>
                <w:color w:val="023160" w:themeColor="hyperlink" w:themeShade="80"/>
              </w:rPr>
              <w:t>Pensioner Rebate</w:t>
            </w:r>
            <w:r>
              <w:rPr>
                <w:noProof/>
                <w:webHidden/>
              </w:rPr>
              <w:tab/>
            </w:r>
            <w:r>
              <w:rPr>
                <w:noProof/>
                <w:webHidden/>
              </w:rPr>
              <w:fldChar w:fldCharType="begin"/>
            </w:r>
            <w:r>
              <w:rPr>
                <w:noProof/>
                <w:webHidden/>
              </w:rPr>
              <w:instrText xml:space="preserve"> PAGEREF _Toc207112787 \h </w:instrText>
            </w:r>
            <w:r>
              <w:rPr>
                <w:noProof/>
                <w:webHidden/>
              </w:rPr>
            </w:r>
            <w:r>
              <w:rPr>
                <w:noProof/>
                <w:webHidden/>
              </w:rPr>
              <w:fldChar w:fldCharType="separate"/>
            </w:r>
            <w:r>
              <w:rPr>
                <w:noProof/>
                <w:webHidden/>
              </w:rPr>
              <w:t>3</w:t>
            </w:r>
            <w:r>
              <w:rPr>
                <w:noProof/>
                <w:webHidden/>
              </w:rPr>
              <w:fldChar w:fldCharType="end"/>
            </w:r>
          </w:hyperlink>
        </w:p>
        <w:p w14:paraId="1F5A1A08" w14:textId="39219514" w:rsidR="00E64331" w:rsidRDefault="00E64331">
          <w:pPr>
            <w:pStyle w:val="TOC3"/>
            <w:rPr>
              <w:rFonts w:asciiTheme="minorHAnsi" w:hAnsiTheme="minorHAnsi" w:cstheme="minorBidi"/>
              <w:noProof/>
              <w:kern w:val="2"/>
              <w:sz w:val="24"/>
              <w:szCs w:val="24"/>
              <w:lang w:val="en-AU" w:eastAsia="en-AU"/>
              <w14:ligatures w14:val="standardContextual"/>
            </w:rPr>
          </w:pPr>
          <w:hyperlink w:anchor="_Toc207112788" w:history="1">
            <w:r w:rsidRPr="00EB7A64">
              <w:rPr>
                <w:rStyle w:val="Hyperlink"/>
                <w:noProof/>
              </w:rPr>
              <w:t>3.1.1.</w:t>
            </w:r>
            <w:r>
              <w:rPr>
                <w:rFonts w:asciiTheme="minorHAnsi" w:hAnsiTheme="minorHAnsi" w:cstheme="minorBidi"/>
                <w:noProof/>
                <w:kern w:val="2"/>
                <w:sz w:val="24"/>
                <w:szCs w:val="24"/>
                <w:lang w:val="en-AU" w:eastAsia="en-AU"/>
                <w14:ligatures w14:val="standardContextual"/>
              </w:rPr>
              <w:tab/>
            </w:r>
            <w:r w:rsidRPr="00EB7A64">
              <w:rPr>
                <w:rStyle w:val="Hyperlink"/>
                <w:noProof/>
              </w:rPr>
              <w:t>Pensioner Rebate Delegations:</w:t>
            </w:r>
            <w:r>
              <w:rPr>
                <w:noProof/>
                <w:webHidden/>
              </w:rPr>
              <w:tab/>
            </w:r>
            <w:r>
              <w:rPr>
                <w:noProof/>
                <w:webHidden/>
              </w:rPr>
              <w:fldChar w:fldCharType="begin"/>
            </w:r>
            <w:r>
              <w:rPr>
                <w:noProof/>
                <w:webHidden/>
              </w:rPr>
              <w:instrText xml:space="preserve"> PAGEREF _Toc207112788 \h </w:instrText>
            </w:r>
            <w:r>
              <w:rPr>
                <w:noProof/>
                <w:webHidden/>
              </w:rPr>
            </w:r>
            <w:r>
              <w:rPr>
                <w:noProof/>
                <w:webHidden/>
              </w:rPr>
              <w:fldChar w:fldCharType="separate"/>
            </w:r>
            <w:r>
              <w:rPr>
                <w:noProof/>
                <w:webHidden/>
              </w:rPr>
              <w:t>3</w:t>
            </w:r>
            <w:r>
              <w:rPr>
                <w:noProof/>
                <w:webHidden/>
              </w:rPr>
              <w:fldChar w:fldCharType="end"/>
            </w:r>
          </w:hyperlink>
        </w:p>
        <w:p w14:paraId="5EA573F4" w14:textId="40FA713D" w:rsidR="00E64331" w:rsidRDefault="00E64331">
          <w:pPr>
            <w:pStyle w:val="TOC2"/>
            <w:rPr>
              <w:rFonts w:asciiTheme="minorHAnsi" w:hAnsiTheme="minorHAnsi" w:cstheme="minorBidi"/>
              <w:noProof/>
              <w:kern w:val="2"/>
              <w:sz w:val="24"/>
              <w:szCs w:val="24"/>
              <w:lang w:val="en-AU" w:eastAsia="en-AU"/>
              <w14:ligatures w14:val="standardContextual"/>
            </w:rPr>
          </w:pPr>
          <w:hyperlink w:anchor="_Toc207112789" w:history="1">
            <w:r w:rsidRPr="00EB7A64">
              <w:rPr>
                <w:rStyle w:val="Hyperlink"/>
                <w:noProof/>
                <w:color w:val="023160" w:themeColor="hyperlink" w:themeShade="80"/>
              </w:rPr>
              <w:t>3.2.</w:t>
            </w:r>
            <w:r>
              <w:rPr>
                <w:rFonts w:asciiTheme="minorHAnsi" w:hAnsiTheme="minorHAnsi" w:cstheme="minorBidi"/>
                <w:noProof/>
                <w:kern w:val="2"/>
                <w:sz w:val="24"/>
                <w:szCs w:val="24"/>
                <w:lang w:val="en-AU" w:eastAsia="en-AU"/>
                <w14:ligatures w14:val="standardContextual"/>
              </w:rPr>
              <w:tab/>
            </w:r>
            <w:r w:rsidRPr="00EB7A64">
              <w:rPr>
                <w:rStyle w:val="Hyperlink"/>
                <w:noProof/>
                <w:color w:val="023160" w:themeColor="hyperlink" w:themeShade="80"/>
              </w:rPr>
              <w:t>Payment Plans</w:t>
            </w:r>
            <w:r>
              <w:rPr>
                <w:noProof/>
                <w:webHidden/>
              </w:rPr>
              <w:tab/>
            </w:r>
            <w:r>
              <w:rPr>
                <w:noProof/>
                <w:webHidden/>
              </w:rPr>
              <w:fldChar w:fldCharType="begin"/>
            </w:r>
            <w:r>
              <w:rPr>
                <w:noProof/>
                <w:webHidden/>
              </w:rPr>
              <w:instrText xml:space="preserve"> PAGEREF _Toc207112789 \h </w:instrText>
            </w:r>
            <w:r>
              <w:rPr>
                <w:noProof/>
                <w:webHidden/>
              </w:rPr>
            </w:r>
            <w:r>
              <w:rPr>
                <w:noProof/>
                <w:webHidden/>
              </w:rPr>
              <w:fldChar w:fldCharType="separate"/>
            </w:r>
            <w:r>
              <w:rPr>
                <w:noProof/>
                <w:webHidden/>
              </w:rPr>
              <w:t>4</w:t>
            </w:r>
            <w:r>
              <w:rPr>
                <w:noProof/>
                <w:webHidden/>
              </w:rPr>
              <w:fldChar w:fldCharType="end"/>
            </w:r>
          </w:hyperlink>
        </w:p>
        <w:p w14:paraId="0C5E49AF" w14:textId="3FE191AD" w:rsidR="00E64331" w:rsidRDefault="00E64331">
          <w:pPr>
            <w:pStyle w:val="TOC3"/>
            <w:rPr>
              <w:rFonts w:asciiTheme="minorHAnsi" w:hAnsiTheme="minorHAnsi" w:cstheme="minorBidi"/>
              <w:noProof/>
              <w:kern w:val="2"/>
              <w:sz w:val="24"/>
              <w:szCs w:val="24"/>
              <w:lang w:val="en-AU" w:eastAsia="en-AU"/>
              <w14:ligatures w14:val="standardContextual"/>
            </w:rPr>
          </w:pPr>
          <w:hyperlink w:anchor="_Toc207112790" w:history="1">
            <w:r w:rsidRPr="00EB7A64">
              <w:rPr>
                <w:rStyle w:val="Hyperlink"/>
                <w:noProof/>
              </w:rPr>
              <w:t>3.2.1.</w:t>
            </w:r>
            <w:r>
              <w:rPr>
                <w:rFonts w:asciiTheme="minorHAnsi" w:hAnsiTheme="minorHAnsi" w:cstheme="minorBidi"/>
                <w:noProof/>
                <w:kern w:val="2"/>
                <w:sz w:val="24"/>
                <w:szCs w:val="24"/>
                <w:lang w:val="en-AU" w:eastAsia="en-AU"/>
                <w14:ligatures w14:val="standardContextual"/>
              </w:rPr>
              <w:tab/>
            </w:r>
            <w:r w:rsidRPr="00EB7A64">
              <w:rPr>
                <w:rStyle w:val="Hyperlink"/>
                <w:noProof/>
              </w:rPr>
              <w:t>Payment Plan Delegations:</w:t>
            </w:r>
            <w:r>
              <w:rPr>
                <w:noProof/>
                <w:webHidden/>
              </w:rPr>
              <w:tab/>
            </w:r>
            <w:r>
              <w:rPr>
                <w:noProof/>
                <w:webHidden/>
              </w:rPr>
              <w:fldChar w:fldCharType="begin"/>
            </w:r>
            <w:r>
              <w:rPr>
                <w:noProof/>
                <w:webHidden/>
              </w:rPr>
              <w:instrText xml:space="preserve"> PAGEREF _Toc207112790 \h </w:instrText>
            </w:r>
            <w:r>
              <w:rPr>
                <w:noProof/>
                <w:webHidden/>
              </w:rPr>
            </w:r>
            <w:r>
              <w:rPr>
                <w:noProof/>
                <w:webHidden/>
              </w:rPr>
              <w:fldChar w:fldCharType="separate"/>
            </w:r>
            <w:r>
              <w:rPr>
                <w:noProof/>
                <w:webHidden/>
              </w:rPr>
              <w:t>4</w:t>
            </w:r>
            <w:r>
              <w:rPr>
                <w:noProof/>
                <w:webHidden/>
              </w:rPr>
              <w:fldChar w:fldCharType="end"/>
            </w:r>
          </w:hyperlink>
        </w:p>
        <w:p w14:paraId="183D8396" w14:textId="7485DFF9" w:rsidR="00E64331" w:rsidRDefault="00E64331">
          <w:pPr>
            <w:pStyle w:val="TOC2"/>
            <w:rPr>
              <w:rFonts w:asciiTheme="minorHAnsi" w:hAnsiTheme="minorHAnsi" w:cstheme="minorBidi"/>
              <w:noProof/>
              <w:kern w:val="2"/>
              <w:sz w:val="24"/>
              <w:szCs w:val="24"/>
              <w:lang w:val="en-AU" w:eastAsia="en-AU"/>
              <w14:ligatures w14:val="standardContextual"/>
            </w:rPr>
          </w:pPr>
          <w:hyperlink w:anchor="_Toc207112791" w:history="1">
            <w:r w:rsidRPr="00EB7A64">
              <w:rPr>
                <w:rStyle w:val="Hyperlink"/>
                <w:noProof/>
                <w:color w:val="023160" w:themeColor="hyperlink" w:themeShade="80"/>
              </w:rPr>
              <w:t>3.3.</w:t>
            </w:r>
            <w:r>
              <w:rPr>
                <w:rFonts w:asciiTheme="minorHAnsi" w:hAnsiTheme="minorHAnsi" w:cstheme="minorBidi"/>
                <w:noProof/>
                <w:kern w:val="2"/>
                <w:sz w:val="24"/>
                <w:szCs w:val="24"/>
                <w:lang w:val="en-AU" w:eastAsia="en-AU"/>
                <w14:ligatures w14:val="standardContextual"/>
              </w:rPr>
              <w:tab/>
            </w:r>
            <w:r w:rsidRPr="00EB7A64">
              <w:rPr>
                <w:rStyle w:val="Hyperlink"/>
                <w:noProof/>
                <w:color w:val="023160" w:themeColor="hyperlink" w:themeShade="80"/>
              </w:rPr>
              <w:t>Deferred Payments (Deferment)</w:t>
            </w:r>
            <w:r>
              <w:rPr>
                <w:noProof/>
                <w:webHidden/>
              </w:rPr>
              <w:tab/>
            </w:r>
            <w:r>
              <w:rPr>
                <w:noProof/>
                <w:webHidden/>
              </w:rPr>
              <w:fldChar w:fldCharType="begin"/>
            </w:r>
            <w:r>
              <w:rPr>
                <w:noProof/>
                <w:webHidden/>
              </w:rPr>
              <w:instrText xml:space="preserve"> PAGEREF _Toc207112791 \h </w:instrText>
            </w:r>
            <w:r>
              <w:rPr>
                <w:noProof/>
                <w:webHidden/>
              </w:rPr>
            </w:r>
            <w:r>
              <w:rPr>
                <w:noProof/>
                <w:webHidden/>
              </w:rPr>
              <w:fldChar w:fldCharType="separate"/>
            </w:r>
            <w:r>
              <w:rPr>
                <w:noProof/>
                <w:webHidden/>
              </w:rPr>
              <w:t>4</w:t>
            </w:r>
            <w:r>
              <w:rPr>
                <w:noProof/>
                <w:webHidden/>
              </w:rPr>
              <w:fldChar w:fldCharType="end"/>
            </w:r>
          </w:hyperlink>
        </w:p>
        <w:p w14:paraId="0AEDD023" w14:textId="2E58D9C9" w:rsidR="00E64331" w:rsidRDefault="00E64331">
          <w:pPr>
            <w:pStyle w:val="TOC3"/>
            <w:rPr>
              <w:rFonts w:asciiTheme="minorHAnsi" w:hAnsiTheme="minorHAnsi" w:cstheme="minorBidi"/>
              <w:noProof/>
              <w:kern w:val="2"/>
              <w:sz w:val="24"/>
              <w:szCs w:val="24"/>
              <w:lang w:val="en-AU" w:eastAsia="en-AU"/>
              <w14:ligatures w14:val="standardContextual"/>
            </w:rPr>
          </w:pPr>
          <w:hyperlink w:anchor="_Toc207112792" w:history="1">
            <w:r w:rsidRPr="00EB7A64">
              <w:rPr>
                <w:rStyle w:val="Hyperlink"/>
                <w:noProof/>
              </w:rPr>
              <w:t>3.3.1.</w:t>
            </w:r>
            <w:r>
              <w:rPr>
                <w:rFonts w:asciiTheme="minorHAnsi" w:hAnsiTheme="minorHAnsi" w:cstheme="minorBidi"/>
                <w:noProof/>
                <w:kern w:val="2"/>
                <w:sz w:val="24"/>
                <w:szCs w:val="24"/>
                <w:lang w:val="en-AU" w:eastAsia="en-AU"/>
                <w14:ligatures w14:val="standardContextual"/>
              </w:rPr>
              <w:tab/>
            </w:r>
            <w:r w:rsidRPr="00EB7A64">
              <w:rPr>
                <w:rStyle w:val="Hyperlink"/>
                <w:noProof/>
              </w:rPr>
              <w:t>Eligible Pensioners/ Self-funded retirees</w:t>
            </w:r>
            <w:r>
              <w:rPr>
                <w:noProof/>
                <w:webHidden/>
              </w:rPr>
              <w:tab/>
            </w:r>
            <w:r>
              <w:rPr>
                <w:noProof/>
                <w:webHidden/>
              </w:rPr>
              <w:fldChar w:fldCharType="begin"/>
            </w:r>
            <w:r>
              <w:rPr>
                <w:noProof/>
                <w:webHidden/>
              </w:rPr>
              <w:instrText xml:space="preserve"> PAGEREF _Toc207112792 \h </w:instrText>
            </w:r>
            <w:r>
              <w:rPr>
                <w:noProof/>
                <w:webHidden/>
              </w:rPr>
            </w:r>
            <w:r>
              <w:rPr>
                <w:noProof/>
                <w:webHidden/>
              </w:rPr>
              <w:fldChar w:fldCharType="separate"/>
            </w:r>
            <w:r>
              <w:rPr>
                <w:noProof/>
                <w:webHidden/>
              </w:rPr>
              <w:t>4</w:t>
            </w:r>
            <w:r>
              <w:rPr>
                <w:noProof/>
                <w:webHidden/>
              </w:rPr>
              <w:fldChar w:fldCharType="end"/>
            </w:r>
          </w:hyperlink>
        </w:p>
        <w:p w14:paraId="60567C7F" w14:textId="7D0D0802" w:rsidR="00E64331" w:rsidRDefault="00E64331">
          <w:pPr>
            <w:pStyle w:val="TOC3"/>
            <w:rPr>
              <w:rFonts w:asciiTheme="minorHAnsi" w:hAnsiTheme="minorHAnsi" w:cstheme="minorBidi"/>
              <w:noProof/>
              <w:kern w:val="2"/>
              <w:sz w:val="24"/>
              <w:szCs w:val="24"/>
              <w:lang w:val="en-AU" w:eastAsia="en-AU"/>
              <w14:ligatures w14:val="standardContextual"/>
            </w:rPr>
          </w:pPr>
          <w:hyperlink w:anchor="_Toc207112793" w:history="1">
            <w:r w:rsidRPr="00EB7A64">
              <w:rPr>
                <w:rStyle w:val="Hyperlink"/>
                <w:noProof/>
              </w:rPr>
              <w:t>3.3.2.</w:t>
            </w:r>
            <w:r>
              <w:rPr>
                <w:rFonts w:asciiTheme="minorHAnsi" w:hAnsiTheme="minorHAnsi" w:cstheme="minorBidi"/>
                <w:noProof/>
                <w:kern w:val="2"/>
                <w:sz w:val="24"/>
                <w:szCs w:val="24"/>
                <w:lang w:val="en-AU" w:eastAsia="en-AU"/>
                <w14:ligatures w14:val="standardContextual"/>
              </w:rPr>
              <w:tab/>
            </w:r>
            <w:r w:rsidRPr="00EB7A64">
              <w:rPr>
                <w:rStyle w:val="Hyperlink"/>
                <w:noProof/>
              </w:rPr>
              <w:t>Eligible Concession Card Holders</w:t>
            </w:r>
            <w:r>
              <w:rPr>
                <w:noProof/>
                <w:webHidden/>
              </w:rPr>
              <w:tab/>
            </w:r>
            <w:r>
              <w:rPr>
                <w:noProof/>
                <w:webHidden/>
              </w:rPr>
              <w:fldChar w:fldCharType="begin"/>
            </w:r>
            <w:r>
              <w:rPr>
                <w:noProof/>
                <w:webHidden/>
              </w:rPr>
              <w:instrText xml:space="preserve"> PAGEREF _Toc207112793 \h </w:instrText>
            </w:r>
            <w:r>
              <w:rPr>
                <w:noProof/>
                <w:webHidden/>
              </w:rPr>
            </w:r>
            <w:r>
              <w:rPr>
                <w:noProof/>
                <w:webHidden/>
              </w:rPr>
              <w:fldChar w:fldCharType="separate"/>
            </w:r>
            <w:r>
              <w:rPr>
                <w:noProof/>
                <w:webHidden/>
              </w:rPr>
              <w:t>5</w:t>
            </w:r>
            <w:r>
              <w:rPr>
                <w:noProof/>
                <w:webHidden/>
              </w:rPr>
              <w:fldChar w:fldCharType="end"/>
            </w:r>
          </w:hyperlink>
        </w:p>
        <w:p w14:paraId="70F2ED4C" w14:textId="36165F8A" w:rsidR="00E64331" w:rsidRDefault="00E64331">
          <w:pPr>
            <w:pStyle w:val="TOC3"/>
            <w:rPr>
              <w:rFonts w:asciiTheme="minorHAnsi" w:hAnsiTheme="minorHAnsi" w:cstheme="minorBidi"/>
              <w:noProof/>
              <w:kern w:val="2"/>
              <w:sz w:val="24"/>
              <w:szCs w:val="24"/>
              <w:lang w:val="en-AU" w:eastAsia="en-AU"/>
              <w14:ligatures w14:val="standardContextual"/>
            </w:rPr>
          </w:pPr>
          <w:hyperlink w:anchor="_Toc207112794" w:history="1">
            <w:r w:rsidRPr="00EB7A64">
              <w:rPr>
                <w:rStyle w:val="Hyperlink"/>
                <w:noProof/>
              </w:rPr>
              <w:t>3.3.3.</w:t>
            </w:r>
            <w:r>
              <w:rPr>
                <w:rFonts w:asciiTheme="minorHAnsi" w:hAnsiTheme="minorHAnsi" w:cstheme="minorBidi"/>
                <w:noProof/>
                <w:kern w:val="2"/>
                <w:sz w:val="24"/>
                <w:szCs w:val="24"/>
                <w:lang w:val="en-AU" w:eastAsia="en-AU"/>
                <w14:ligatures w14:val="standardContextual"/>
              </w:rPr>
              <w:tab/>
            </w:r>
            <w:r w:rsidRPr="00EB7A64">
              <w:rPr>
                <w:rStyle w:val="Hyperlink"/>
                <w:noProof/>
              </w:rPr>
              <w:t>Eligible Pensioners/ Self-funded retirees</w:t>
            </w:r>
            <w:r>
              <w:rPr>
                <w:noProof/>
                <w:webHidden/>
              </w:rPr>
              <w:tab/>
            </w:r>
            <w:r>
              <w:rPr>
                <w:noProof/>
                <w:webHidden/>
              </w:rPr>
              <w:fldChar w:fldCharType="begin"/>
            </w:r>
            <w:r>
              <w:rPr>
                <w:noProof/>
                <w:webHidden/>
              </w:rPr>
              <w:instrText xml:space="preserve"> PAGEREF _Toc207112794 \h </w:instrText>
            </w:r>
            <w:r>
              <w:rPr>
                <w:noProof/>
                <w:webHidden/>
              </w:rPr>
            </w:r>
            <w:r>
              <w:rPr>
                <w:noProof/>
                <w:webHidden/>
              </w:rPr>
              <w:fldChar w:fldCharType="separate"/>
            </w:r>
            <w:r>
              <w:rPr>
                <w:noProof/>
                <w:webHidden/>
              </w:rPr>
              <w:t>5</w:t>
            </w:r>
            <w:r>
              <w:rPr>
                <w:noProof/>
                <w:webHidden/>
              </w:rPr>
              <w:fldChar w:fldCharType="end"/>
            </w:r>
          </w:hyperlink>
        </w:p>
        <w:p w14:paraId="328682A8" w14:textId="4519A81C" w:rsidR="00E64331" w:rsidRDefault="00E64331">
          <w:pPr>
            <w:pStyle w:val="TOC3"/>
            <w:rPr>
              <w:rFonts w:asciiTheme="minorHAnsi" w:hAnsiTheme="minorHAnsi" w:cstheme="minorBidi"/>
              <w:noProof/>
              <w:kern w:val="2"/>
              <w:sz w:val="24"/>
              <w:szCs w:val="24"/>
              <w:lang w:val="en-AU" w:eastAsia="en-AU"/>
              <w14:ligatures w14:val="standardContextual"/>
            </w:rPr>
          </w:pPr>
          <w:hyperlink w:anchor="_Toc207112795" w:history="1">
            <w:r w:rsidRPr="00EB7A64">
              <w:rPr>
                <w:rStyle w:val="Hyperlink"/>
                <w:noProof/>
              </w:rPr>
              <w:t>3.3.4.</w:t>
            </w:r>
            <w:r>
              <w:rPr>
                <w:rFonts w:asciiTheme="minorHAnsi" w:hAnsiTheme="minorHAnsi" w:cstheme="minorBidi"/>
                <w:noProof/>
                <w:kern w:val="2"/>
                <w:sz w:val="24"/>
                <w:szCs w:val="24"/>
                <w:lang w:val="en-AU" w:eastAsia="en-AU"/>
                <w14:ligatures w14:val="standardContextual"/>
              </w:rPr>
              <w:tab/>
            </w:r>
            <w:r w:rsidRPr="00EB7A64">
              <w:rPr>
                <w:rStyle w:val="Hyperlink"/>
                <w:noProof/>
              </w:rPr>
              <w:t>Withdrawing of Deferred Payments</w:t>
            </w:r>
            <w:r>
              <w:rPr>
                <w:noProof/>
                <w:webHidden/>
              </w:rPr>
              <w:tab/>
            </w:r>
            <w:r>
              <w:rPr>
                <w:noProof/>
                <w:webHidden/>
              </w:rPr>
              <w:fldChar w:fldCharType="begin"/>
            </w:r>
            <w:r>
              <w:rPr>
                <w:noProof/>
                <w:webHidden/>
              </w:rPr>
              <w:instrText xml:space="preserve"> PAGEREF _Toc207112795 \h </w:instrText>
            </w:r>
            <w:r>
              <w:rPr>
                <w:noProof/>
                <w:webHidden/>
              </w:rPr>
            </w:r>
            <w:r>
              <w:rPr>
                <w:noProof/>
                <w:webHidden/>
              </w:rPr>
              <w:fldChar w:fldCharType="separate"/>
            </w:r>
            <w:r>
              <w:rPr>
                <w:noProof/>
                <w:webHidden/>
              </w:rPr>
              <w:t>5</w:t>
            </w:r>
            <w:r>
              <w:rPr>
                <w:noProof/>
                <w:webHidden/>
              </w:rPr>
              <w:fldChar w:fldCharType="end"/>
            </w:r>
          </w:hyperlink>
        </w:p>
        <w:p w14:paraId="6D4F3F38" w14:textId="7DE270DC" w:rsidR="00E64331" w:rsidRDefault="00E64331">
          <w:pPr>
            <w:pStyle w:val="TOC3"/>
            <w:rPr>
              <w:rFonts w:asciiTheme="minorHAnsi" w:hAnsiTheme="minorHAnsi" w:cstheme="minorBidi"/>
              <w:noProof/>
              <w:kern w:val="2"/>
              <w:sz w:val="24"/>
              <w:szCs w:val="24"/>
              <w:lang w:val="en-AU" w:eastAsia="en-AU"/>
              <w14:ligatures w14:val="standardContextual"/>
            </w:rPr>
          </w:pPr>
          <w:hyperlink w:anchor="_Toc207112796" w:history="1">
            <w:r w:rsidRPr="00EB7A64">
              <w:rPr>
                <w:rStyle w:val="Hyperlink"/>
                <w:noProof/>
              </w:rPr>
              <w:t>3.3.5.</w:t>
            </w:r>
            <w:r>
              <w:rPr>
                <w:rFonts w:asciiTheme="minorHAnsi" w:hAnsiTheme="minorHAnsi" w:cstheme="minorBidi"/>
                <w:noProof/>
                <w:kern w:val="2"/>
                <w:sz w:val="24"/>
                <w:szCs w:val="24"/>
                <w:lang w:val="en-AU" w:eastAsia="en-AU"/>
                <w14:ligatures w14:val="standardContextual"/>
              </w:rPr>
              <w:tab/>
            </w:r>
            <w:r w:rsidRPr="00EB7A64">
              <w:rPr>
                <w:rStyle w:val="Hyperlink"/>
                <w:noProof/>
              </w:rPr>
              <w:t>Deferred Payments Delegation:</w:t>
            </w:r>
            <w:r>
              <w:rPr>
                <w:noProof/>
                <w:webHidden/>
              </w:rPr>
              <w:tab/>
            </w:r>
            <w:r>
              <w:rPr>
                <w:noProof/>
                <w:webHidden/>
              </w:rPr>
              <w:fldChar w:fldCharType="begin"/>
            </w:r>
            <w:r>
              <w:rPr>
                <w:noProof/>
                <w:webHidden/>
              </w:rPr>
              <w:instrText xml:space="preserve"> PAGEREF _Toc207112796 \h </w:instrText>
            </w:r>
            <w:r>
              <w:rPr>
                <w:noProof/>
                <w:webHidden/>
              </w:rPr>
            </w:r>
            <w:r>
              <w:rPr>
                <w:noProof/>
                <w:webHidden/>
              </w:rPr>
              <w:fldChar w:fldCharType="separate"/>
            </w:r>
            <w:r>
              <w:rPr>
                <w:noProof/>
                <w:webHidden/>
              </w:rPr>
              <w:t>5</w:t>
            </w:r>
            <w:r>
              <w:rPr>
                <w:noProof/>
                <w:webHidden/>
              </w:rPr>
              <w:fldChar w:fldCharType="end"/>
            </w:r>
          </w:hyperlink>
        </w:p>
        <w:p w14:paraId="14393F88" w14:textId="5AAE5226" w:rsidR="00E64331" w:rsidRDefault="00E64331">
          <w:pPr>
            <w:pStyle w:val="TOC2"/>
            <w:rPr>
              <w:rFonts w:asciiTheme="minorHAnsi" w:hAnsiTheme="minorHAnsi" w:cstheme="minorBidi"/>
              <w:noProof/>
              <w:kern w:val="2"/>
              <w:sz w:val="24"/>
              <w:szCs w:val="24"/>
              <w:lang w:val="en-AU" w:eastAsia="en-AU"/>
              <w14:ligatures w14:val="standardContextual"/>
            </w:rPr>
          </w:pPr>
          <w:hyperlink w:anchor="_Toc207112797" w:history="1">
            <w:r w:rsidRPr="00EB7A64">
              <w:rPr>
                <w:rStyle w:val="Hyperlink"/>
                <w:noProof/>
                <w:color w:val="023160" w:themeColor="hyperlink" w:themeShade="80"/>
              </w:rPr>
              <w:t>3.4.</w:t>
            </w:r>
            <w:r>
              <w:rPr>
                <w:rFonts w:asciiTheme="minorHAnsi" w:hAnsiTheme="minorHAnsi" w:cstheme="minorBidi"/>
                <w:noProof/>
                <w:kern w:val="2"/>
                <w:sz w:val="24"/>
                <w:szCs w:val="24"/>
                <w:lang w:val="en-AU" w:eastAsia="en-AU"/>
                <w14:ligatures w14:val="standardContextual"/>
              </w:rPr>
              <w:tab/>
            </w:r>
            <w:r w:rsidRPr="00EB7A64">
              <w:rPr>
                <w:rStyle w:val="Hyperlink"/>
                <w:noProof/>
                <w:color w:val="023160" w:themeColor="hyperlink" w:themeShade="80"/>
              </w:rPr>
              <w:t>Waiver - Interest and Legal Charges</w:t>
            </w:r>
            <w:r>
              <w:rPr>
                <w:noProof/>
                <w:webHidden/>
              </w:rPr>
              <w:tab/>
            </w:r>
            <w:r>
              <w:rPr>
                <w:noProof/>
                <w:webHidden/>
              </w:rPr>
              <w:fldChar w:fldCharType="begin"/>
            </w:r>
            <w:r>
              <w:rPr>
                <w:noProof/>
                <w:webHidden/>
              </w:rPr>
              <w:instrText xml:space="preserve"> PAGEREF _Toc207112797 \h </w:instrText>
            </w:r>
            <w:r>
              <w:rPr>
                <w:noProof/>
                <w:webHidden/>
              </w:rPr>
            </w:r>
            <w:r>
              <w:rPr>
                <w:noProof/>
                <w:webHidden/>
              </w:rPr>
              <w:fldChar w:fldCharType="separate"/>
            </w:r>
            <w:r>
              <w:rPr>
                <w:noProof/>
                <w:webHidden/>
              </w:rPr>
              <w:t>6</w:t>
            </w:r>
            <w:r>
              <w:rPr>
                <w:noProof/>
                <w:webHidden/>
              </w:rPr>
              <w:fldChar w:fldCharType="end"/>
            </w:r>
          </w:hyperlink>
        </w:p>
        <w:p w14:paraId="7347055E" w14:textId="28B473B0" w:rsidR="00E64331" w:rsidRDefault="00E64331">
          <w:pPr>
            <w:pStyle w:val="TOC2"/>
            <w:rPr>
              <w:rFonts w:asciiTheme="minorHAnsi" w:hAnsiTheme="minorHAnsi" w:cstheme="minorBidi"/>
              <w:noProof/>
              <w:kern w:val="2"/>
              <w:sz w:val="24"/>
              <w:szCs w:val="24"/>
              <w:lang w:val="en-AU" w:eastAsia="en-AU"/>
              <w14:ligatures w14:val="standardContextual"/>
            </w:rPr>
          </w:pPr>
          <w:hyperlink w:anchor="_Toc207112798" w:history="1">
            <w:r w:rsidRPr="00EB7A64">
              <w:rPr>
                <w:rStyle w:val="Hyperlink"/>
                <w:noProof/>
                <w:color w:val="023160" w:themeColor="hyperlink" w:themeShade="80"/>
              </w:rPr>
              <w:t>3.5.</w:t>
            </w:r>
            <w:r>
              <w:rPr>
                <w:rFonts w:asciiTheme="minorHAnsi" w:hAnsiTheme="minorHAnsi" w:cstheme="minorBidi"/>
                <w:noProof/>
                <w:kern w:val="2"/>
                <w:sz w:val="24"/>
                <w:szCs w:val="24"/>
                <w:lang w:val="en-AU" w:eastAsia="en-AU"/>
                <w14:ligatures w14:val="standardContextual"/>
              </w:rPr>
              <w:tab/>
            </w:r>
            <w:r w:rsidRPr="00EB7A64">
              <w:rPr>
                <w:rStyle w:val="Hyperlink"/>
                <w:noProof/>
                <w:color w:val="023160" w:themeColor="hyperlink" w:themeShade="80"/>
              </w:rPr>
              <w:t>Waiver – Rates and Charges</w:t>
            </w:r>
            <w:r>
              <w:rPr>
                <w:noProof/>
                <w:webHidden/>
              </w:rPr>
              <w:tab/>
            </w:r>
            <w:r>
              <w:rPr>
                <w:noProof/>
                <w:webHidden/>
              </w:rPr>
              <w:fldChar w:fldCharType="begin"/>
            </w:r>
            <w:r>
              <w:rPr>
                <w:noProof/>
                <w:webHidden/>
              </w:rPr>
              <w:instrText xml:space="preserve"> PAGEREF _Toc207112798 \h </w:instrText>
            </w:r>
            <w:r>
              <w:rPr>
                <w:noProof/>
                <w:webHidden/>
              </w:rPr>
            </w:r>
            <w:r>
              <w:rPr>
                <w:noProof/>
                <w:webHidden/>
              </w:rPr>
              <w:fldChar w:fldCharType="separate"/>
            </w:r>
            <w:r>
              <w:rPr>
                <w:noProof/>
                <w:webHidden/>
              </w:rPr>
              <w:t>6</w:t>
            </w:r>
            <w:r>
              <w:rPr>
                <w:noProof/>
                <w:webHidden/>
              </w:rPr>
              <w:fldChar w:fldCharType="end"/>
            </w:r>
          </w:hyperlink>
        </w:p>
        <w:p w14:paraId="06A5D380" w14:textId="5BFB82BF" w:rsidR="00E64331" w:rsidRDefault="00E64331">
          <w:pPr>
            <w:pStyle w:val="TOC3"/>
            <w:rPr>
              <w:rFonts w:asciiTheme="minorHAnsi" w:hAnsiTheme="minorHAnsi" w:cstheme="minorBidi"/>
              <w:noProof/>
              <w:kern w:val="2"/>
              <w:sz w:val="24"/>
              <w:szCs w:val="24"/>
              <w:lang w:val="en-AU" w:eastAsia="en-AU"/>
              <w14:ligatures w14:val="standardContextual"/>
            </w:rPr>
          </w:pPr>
          <w:hyperlink w:anchor="_Toc207112799" w:history="1">
            <w:r w:rsidRPr="00EB7A64">
              <w:rPr>
                <w:rStyle w:val="Hyperlink"/>
                <w:noProof/>
              </w:rPr>
              <w:t>3.5.1.</w:t>
            </w:r>
            <w:r>
              <w:rPr>
                <w:rFonts w:asciiTheme="minorHAnsi" w:hAnsiTheme="minorHAnsi" w:cstheme="minorBidi"/>
                <w:noProof/>
                <w:kern w:val="2"/>
                <w:sz w:val="24"/>
                <w:szCs w:val="24"/>
                <w:lang w:val="en-AU" w:eastAsia="en-AU"/>
                <w14:ligatures w14:val="standardContextual"/>
              </w:rPr>
              <w:tab/>
            </w:r>
            <w:r w:rsidRPr="00EB7A64">
              <w:rPr>
                <w:rStyle w:val="Hyperlink"/>
                <w:noProof/>
              </w:rPr>
              <w:t>Waiver – Rates and Waste Charges</w:t>
            </w:r>
            <w:r>
              <w:rPr>
                <w:noProof/>
                <w:webHidden/>
              </w:rPr>
              <w:tab/>
            </w:r>
            <w:r>
              <w:rPr>
                <w:noProof/>
                <w:webHidden/>
              </w:rPr>
              <w:fldChar w:fldCharType="begin"/>
            </w:r>
            <w:r>
              <w:rPr>
                <w:noProof/>
                <w:webHidden/>
              </w:rPr>
              <w:instrText xml:space="preserve"> PAGEREF _Toc207112799 \h </w:instrText>
            </w:r>
            <w:r>
              <w:rPr>
                <w:noProof/>
                <w:webHidden/>
              </w:rPr>
            </w:r>
            <w:r>
              <w:rPr>
                <w:noProof/>
                <w:webHidden/>
              </w:rPr>
              <w:fldChar w:fldCharType="separate"/>
            </w:r>
            <w:r>
              <w:rPr>
                <w:noProof/>
                <w:webHidden/>
              </w:rPr>
              <w:t>6</w:t>
            </w:r>
            <w:r>
              <w:rPr>
                <w:noProof/>
                <w:webHidden/>
              </w:rPr>
              <w:fldChar w:fldCharType="end"/>
            </w:r>
          </w:hyperlink>
        </w:p>
        <w:p w14:paraId="22AF7BCA" w14:textId="339A4394" w:rsidR="00E64331" w:rsidRDefault="00E64331">
          <w:pPr>
            <w:pStyle w:val="TOC3"/>
            <w:rPr>
              <w:rFonts w:asciiTheme="minorHAnsi" w:hAnsiTheme="minorHAnsi" w:cstheme="minorBidi"/>
              <w:noProof/>
              <w:kern w:val="2"/>
              <w:sz w:val="24"/>
              <w:szCs w:val="24"/>
              <w:lang w:val="en-AU" w:eastAsia="en-AU"/>
              <w14:ligatures w14:val="standardContextual"/>
            </w:rPr>
          </w:pPr>
          <w:hyperlink w:anchor="_Toc207112800" w:history="1">
            <w:r w:rsidRPr="00EB7A64">
              <w:rPr>
                <w:rStyle w:val="Hyperlink"/>
                <w:noProof/>
              </w:rPr>
              <w:t>3.5.2.</w:t>
            </w:r>
            <w:r>
              <w:rPr>
                <w:rFonts w:asciiTheme="minorHAnsi" w:hAnsiTheme="minorHAnsi" w:cstheme="minorBidi"/>
                <w:noProof/>
                <w:kern w:val="2"/>
                <w:sz w:val="24"/>
                <w:szCs w:val="24"/>
                <w:lang w:val="en-AU" w:eastAsia="en-AU"/>
                <w14:ligatures w14:val="standardContextual"/>
              </w:rPr>
              <w:tab/>
            </w:r>
            <w:r w:rsidRPr="00EB7A64">
              <w:rPr>
                <w:rStyle w:val="Hyperlink"/>
                <w:noProof/>
              </w:rPr>
              <w:t>Calculating Council-funded waiver</w:t>
            </w:r>
            <w:r>
              <w:rPr>
                <w:noProof/>
                <w:webHidden/>
              </w:rPr>
              <w:tab/>
            </w:r>
            <w:r>
              <w:rPr>
                <w:noProof/>
                <w:webHidden/>
              </w:rPr>
              <w:fldChar w:fldCharType="begin"/>
            </w:r>
            <w:r>
              <w:rPr>
                <w:noProof/>
                <w:webHidden/>
              </w:rPr>
              <w:instrText xml:space="preserve"> PAGEREF _Toc207112800 \h </w:instrText>
            </w:r>
            <w:r>
              <w:rPr>
                <w:noProof/>
                <w:webHidden/>
              </w:rPr>
            </w:r>
            <w:r>
              <w:rPr>
                <w:noProof/>
                <w:webHidden/>
              </w:rPr>
              <w:fldChar w:fldCharType="separate"/>
            </w:r>
            <w:r>
              <w:rPr>
                <w:noProof/>
                <w:webHidden/>
              </w:rPr>
              <w:t>6</w:t>
            </w:r>
            <w:r>
              <w:rPr>
                <w:noProof/>
                <w:webHidden/>
              </w:rPr>
              <w:fldChar w:fldCharType="end"/>
            </w:r>
          </w:hyperlink>
        </w:p>
        <w:p w14:paraId="412CC741" w14:textId="1D78734E" w:rsidR="00E64331" w:rsidRDefault="00E64331">
          <w:pPr>
            <w:pStyle w:val="TOC3"/>
            <w:rPr>
              <w:rFonts w:asciiTheme="minorHAnsi" w:hAnsiTheme="minorHAnsi" w:cstheme="minorBidi"/>
              <w:noProof/>
              <w:kern w:val="2"/>
              <w:sz w:val="24"/>
              <w:szCs w:val="24"/>
              <w:lang w:val="en-AU" w:eastAsia="en-AU"/>
              <w14:ligatures w14:val="standardContextual"/>
            </w:rPr>
          </w:pPr>
          <w:hyperlink w:anchor="_Toc207112801" w:history="1">
            <w:r w:rsidRPr="00EB7A64">
              <w:rPr>
                <w:rStyle w:val="Hyperlink"/>
                <w:noProof/>
              </w:rPr>
              <w:t>3.5.3.</w:t>
            </w:r>
            <w:r>
              <w:rPr>
                <w:rFonts w:asciiTheme="minorHAnsi" w:hAnsiTheme="minorHAnsi" w:cstheme="minorBidi"/>
                <w:noProof/>
                <w:kern w:val="2"/>
                <w:sz w:val="24"/>
                <w:szCs w:val="24"/>
                <w:lang w:val="en-AU" w:eastAsia="en-AU"/>
                <w14:ligatures w14:val="standardContextual"/>
              </w:rPr>
              <w:tab/>
            </w:r>
            <w:r w:rsidRPr="00EB7A64">
              <w:rPr>
                <w:rStyle w:val="Hyperlink"/>
                <w:noProof/>
              </w:rPr>
              <w:t>Eligibility Criteria</w:t>
            </w:r>
            <w:r>
              <w:rPr>
                <w:noProof/>
                <w:webHidden/>
              </w:rPr>
              <w:tab/>
            </w:r>
            <w:r>
              <w:rPr>
                <w:noProof/>
                <w:webHidden/>
              </w:rPr>
              <w:fldChar w:fldCharType="begin"/>
            </w:r>
            <w:r>
              <w:rPr>
                <w:noProof/>
                <w:webHidden/>
              </w:rPr>
              <w:instrText xml:space="preserve"> PAGEREF _Toc207112801 \h </w:instrText>
            </w:r>
            <w:r>
              <w:rPr>
                <w:noProof/>
                <w:webHidden/>
              </w:rPr>
            </w:r>
            <w:r>
              <w:rPr>
                <w:noProof/>
                <w:webHidden/>
              </w:rPr>
              <w:fldChar w:fldCharType="separate"/>
            </w:r>
            <w:r>
              <w:rPr>
                <w:noProof/>
                <w:webHidden/>
              </w:rPr>
              <w:t>7</w:t>
            </w:r>
            <w:r>
              <w:rPr>
                <w:noProof/>
                <w:webHidden/>
              </w:rPr>
              <w:fldChar w:fldCharType="end"/>
            </w:r>
          </w:hyperlink>
        </w:p>
        <w:p w14:paraId="6DE4DE67" w14:textId="40AD1BD4" w:rsidR="00E64331" w:rsidRDefault="00E64331">
          <w:pPr>
            <w:pStyle w:val="TOC1"/>
            <w:rPr>
              <w:rFonts w:asciiTheme="minorHAnsi" w:hAnsiTheme="minorHAnsi" w:cstheme="minorBidi"/>
              <w:noProof/>
              <w:kern w:val="2"/>
              <w:sz w:val="24"/>
              <w:szCs w:val="24"/>
              <w:lang w:val="en-AU" w:eastAsia="en-AU"/>
              <w14:ligatures w14:val="standardContextual"/>
            </w:rPr>
          </w:pPr>
          <w:hyperlink w:anchor="_Toc207112802" w:history="1">
            <w:r w:rsidRPr="00EB7A64">
              <w:rPr>
                <w:rStyle w:val="Hyperlink"/>
                <w:noProof/>
                <w:color w:val="023160" w:themeColor="hyperlink" w:themeShade="80"/>
              </w:rPr>
              <w:t>4.</w:t>
            </w:r>
            <w:r>
              <w:rPr>
                <w:rFonts w:asciiTheme="minorHAnsi" w:hAnsiTheme="minorHAnsi" w:cstheme="minorBidi"/>
                <w:noProof/>
                <w:kern w:val="2"/>
                <w:sz w:val="24"/>
                <w:szCs w:val="24"/>
                <w:lang w:val="en-AU" w:eastAsia="en-AU"/>
                <w14:ligatures w14:val="standardContextual"/>
              </w:rPr>
              <w:tab/>
            </w:r>
            <w:r w:rsidRPr="00EB7A64">
              <w:rPr>
                <w:rStyle w:val="Hyperlink"/>
                <w:noProof/>
                <w:color w:val="023160" w:themeColor="hyperlink" w:themeShade="80"/>
              </w:rPr>
              <w:t>Support for Applications</w:t>
            </w:r>
            <w:r>
              <w:rPr>
                <w:noProof/>
                <w:webHidden/>
              </w:rPr>
              <w:tab/>
            </w:r>
            <w:r>
              <w:rPr>
                <w:noProof/>
                <w:webHidden/>
              </w:rPr>
              <w:fldChar w:fldCharType="begin"/>
            </w:r>
            <w:r>
              <w:rPr>
                <w:noProof/>
                <w:webHidden/>
              </w:rPr>
              <w:instrText xml:space="preserve"> PAGEREF _Toc207112802 \h </w:instrText>
            </w:r>
            <w:r>
              <w:rPr>
                <w:noProof/>
                <w:webHidden/>
              </w:rPr>
            </w:r>
            <w:r>
              <w:rPr>
                <w:noProof/>
                <w:webHidden/>
              </w:rPr>
              <w:fldChar w:fldCharType="separate"/>
            </w:r>
            <w:r>
              <w:rPr>
                <w:noProof/>
                <w:webHidden/>
              </w:rPr>
              <w:t>7</w:t>
            </w:r>
            <w:r>
              <w:rPr>
                <w:noProof/>
                <w:webHidden/>
              </w:rPr>
              <w:fldChar w:fldCharType="end"/>
            </w:r>
          </w:hyperlink>
        </w:p>
        <w:p w14:paraId="003514CD" w14:textId="587591CA" w:rsidR="00E64331" w:rsidRDefault="00E64331">
          <w:pPr>
            <w:pStyle w:val="TOC1"/>
            <w:rPr>
              <w:rFonts w:asciiTheme="minorHAnsi" w:hAnsiTheme="minorHAnsi" w:cstheme="minorBidi"/>
              <w:noProof/>
              <w:kern w:val="2"/>
              <w:sz w:val="24"/>
              <w:szCs w:val="24"/>
              <w:lang w:val="en-AU" w:eastAsia="en-AU"/>
              <w14:ligatures w14:val="standardContextual"/>
            </w:rPr>
          </w:pPr>
          <w:hyperlink w:anchor="_Toc207112803" w:history="1">
            <w:r w:rsidRPr="00EB7A64">
              <w:rPr>
                <w:rStyle w:val="Hyperlink"/>
                <w:noProof/>
                <w:color w:val="023160" w:themeColor="hyperlink" w:themeShade="80"/>
              </w:rPr>
              <w:t>5.</w:t>
            </w:r>
            <w:r>
              <w:rPr>
                <w:rFonts w:asciiTheme="minorHAnsi" w:hAnsiTheme="minorHAnsi" w:cstheme="minorBidi"/>
                <w:noProof/>
                <w:kern w:val="2"/>
                <w:sz w:val="24"/>
                <w:szCs w:val="24"/>
                <w:lang w:val="en-AU" w:eastAsia="en-AU"/>
                <w14:ligatures w14:val="standardContextual"/>
              </w:rPr>
              <w:tab/>
            </w:r>
            <w:r w:rsidRPr="00EB7A64">
              <w:rPr>
                <w:rStyle w:val="Hyperlink"/>
                <w:noProof/>
              </w:rPr>
              <w:t>Appeals</w:t>
            </w:r>
            <w:r w:rsidRPr="00EB7A64">
              <w:rPr>
                <w:rStyle w:val="Hyperlink"/>
                <w:noProof/>
                <w:color w:val="023160" w:themeColor="hyperlink" w:themeShade="80"/>
              </w:rPr>
              <w:t xml:space="preserve"> Process</w:t>
            </w:r>
            <w:r>
              <w:rPr>
                <w:noProof/>
                <w:webHidden/>
              </w:rPr>
              <w:tab/>
            </w:r>
            <w:r>
              <w:rPr>
                <w:noProof/>
                <w:webHidden/>
              </w:rPr>
              <w:fldChar w:fldCharType="begin"/>
            </w:r>
            <w:r>
              <w:rPr>
                <w:noProof/>
                <w:webHidden/>
              </w:rPr>
              <w:instrText xml:space="preserve"> PAGEREF _Toc207112803 \h </w:instrText>
            </w:r>
            <w:r>
              <w:rPr>
                <w:noProof/>
                <w:webHidden/>
              </w:rPr>
            </w:r>
            <w:r>
              <w:rPr>
                <w:noProof/>
                <w:webHidden/>
              </w:rPr>
              <w:fldChar w:fldCharType="separate"/>
            </w:r>
            <w:r>
              <w:rPr>
                <w:noProof/>
                <w:webHidden/>
              </w:rPr>
              <w:t>8</w:t>
            </w:r>
            <w:r>
              <w:rPr>
                <w:noProof/>
                <w:webHidden/>
              </w:rPr>
              <w:fldChar w:fldCharType="end"/>
            </w:r>
          </w:hyperlink>
        </w:p>
        <w:p w14:paraId="0F6BA7DC" w14:textId="2B440E6D" w:rsidR="00E64331" w:rsidRDefault="00E64331">
          <w:pPr>
            <w:pStyle w:val="TOC1"/>
            <w:rPr>
              <w:rFonts w:asciiTheme="minorHAnsi" w:hAnsiTheme="minorHAnsi" w:cstheme="minorBidi"/>
              <w:noProof/>
              <w:kern w:val="2"/>
              <w:sz w:val="24"/>
              <w:szCs w:val="24"/>
              <w:lang w:val="en-AU" w:eastAsia="en-AU"/>
              <w14:ligatures w14:val="standardContextual"/>
            </w:rPr>
          </w:pPr>
          <w:hyperlink w:anchor="_Toc207112804" w:history="1">
            <w:r w:rsidRPr="00EB7A64">
              <w:rPr>
                <w:rStyle w:val="Hyperlink"/>
                <w:noProof/>
                <w:color w:val="023160" w:themeColor="hyperlink" w:themeShade="80"/>
              </w:rPr>
              <w:t>6.</w:t>
            </w:r>
            <w:r>
              <w:rPr>
                <w:rFonts w:asciiTheme="minorHAnsi" w:hAnsiTheme="minorHAnsi" w:cstheme="minorBidi"/>
                <w:noProof/>
                <w:kern w:val="2"/>
                <w:sz w:val="24"/>
                <w:szCs w:val="24"/>
                <w:lang w:val="en-AU" w:eastAsia="en-AU"/>
                <w14:ligatures w14:val="standardContextual"/>
              </w:rPr>
              <w:tab/>
            </w:r>
            <w:r w:rsidRPr="00EB7A64">
              <w:rPr>
                <w:rStyle w:val="Hyperlink"/>
                <w:noProof/>
              </w:rPr>
              <w:t>Recovery</w:t>
            </w:r>
            <w:r w:rsidRPr="00EB7A64">
              <w:rPr>
                <w:rStyle w:val="Hyperlink"/>
                <w:noProof/>
                <w:color w:val="023160" w:themeColor="hyperlink" w:themeShade="80"/>
              </w:rPr>
              <w:t xml:space="preserve"> of Rates and Charges</w:t>
            </w:r>
            <w:r>
              <w:rPr>
                <w:noProof/>
                <w:webHidden/>
              </w:rPr>
              <w:tab/>
            </w:r>
            <w:r>
              <w:rPr>
                <w:noProof/>
                <w:webHidden/>
              </w:rPr>
              <w:fldChar w:fldCharType="begin"/>
            </w:r>
            <w:r>
              <w:rPr>
                <w:noProof/>
                <w:webHidden/>
              </w:rPr>
              <w:instrText xml:space="preserve"> PAGEREF _Toc207112804 \h </w:instrText>
            </w:r>
            <w:r>
              <w:rPr>
                <w:noProof/>
                <w:webHidden/>
              </w:rPr>
            </w:r>
            <w:r>
              <w:rPr>
                <w:noProof/>
                <w:webHidden/>
              </w:rPr>
              <w:fldChar w:fldCharType="separate"/>
            </w:r>
            <w:r>
              <w:rPr>
                <w:noProof/>
                <w:webHidden/>
              </w:rPr>
              <w:t>8</w:t>
            </w:r>
            <w:r>
              <w:rPr>
                <w:noProof/>
                <w:webHidden/>
              </w:rPr>
              <w:fldChar w:fldCharType="end"/>
            </w:r>
          </w:hyperlink>
        </w:p>
        <w:p w14:paraId="30135CEB" w14:textId="621307E2" w:rsidR="00E64331" w:rsidRDefault="00E64331">
          <w:pPr>
            <w:pStyle w:val="TOC1"/>
            <w:rPr>
              <w:rFonts w:asciiTheme="minorHAnsi" w:hAnsiTheme="minorHAnsi" w:cstheme="minorBidi"/>
              <w:noProof/>
              <w:kern w:val="2"/>
              <w:sz w:val="24"/>
              <w:szCs w:val="24"/>
              <w:lang w:val="en-AU" w:eastAsia="en-AU"/>
              <w14:ligatures w14:val="standardContextual"/>
            </w:rPr>
          </w:pPr>
          <w:hyperlink w:anchor="_Toc207112805" w:history="1">
            <w:r w:rsidRPr="00EB7A64">
              <w:rPr>
                <w:rStyle w:val="Hyperlink"/>
                <w:noProof/>
              </w:rPr>
              <w:t>7.</w:t>
            </w:r>
            <w:r>
              <w:rPr>
                <w:rFonts w:asciiTheme="minorHAnsi" w:hAnsiTheme="minorHAnsi" w:cstheme="minorBidi"/>
                <w:noProof/>
                <w:kern w:val="2"/>
                <w:sz w:val="24"/>
                <w:szCs w:val="24"/>
                <w:lang w:val="en-AU" w:eastAsia="en-AU"/>
                <w14:ligatures w14:val="standardContextual"/>
              </w:rPr>
              <w:tab/>
            </w:r>
            <w:r w:rsidRPr="00EB7A64">
              <w:rPr>
                <w:rStyle w:val="Hyperlink"/>
                <w:noProof/>
              </w:rPr>
              <w:t>Related legislation and documents</w:t>
            </w:r>
            <w:r>
              <w:rPr>
                <w:noProof/>
                <w:webHidden/>
              </w:rPr>
              <w:tab/>
            </w:r>
            <w:r>
              <w:rPr>
                <w:noProof/>
                <w:webHidden/>
              </w:rPr>
              <w:fldChar w:fldCharType="begin"/>
            </w:r>
            <w:r>
              <w:rPr>
                <w:noProof/>
                <w:webHidden/>
              </w:rPr>
              <w:instrText xml:space="preserve"> PAGEREF _Toc207112805 \h </w:instrText>
            </w:r>
            <w:r>
              <w:rPr>
                <w:noProof/>
                <w:webHidden/>
              </w:rPr>
            </w:r>
            <w:r>
              <w:rPr>
                <w:noProof/>
                <w:webHidden/>
              </w:rPr>
              <w:fldChar w:fldCharType="separate"/>
            </w:r>
            <w:r>
              <w:rPr>
                <w:noProof/>
                <w:webHidden/>
              </w:rPr>
              <w:t>8</w:t>
            </w:r>
            <w:r>
              <w:rPr>
                <w:noProof/>
                <w:webHidden/>
              </w:rPr>
              <w:fldChar w:fldCharType="end"/>
            </w:r>
          </w:hyperlink>
        </w:p>
        <w:p w14:paraId="71E07BD7" w14:textId="0C75C349" w:rsidR="00E64331" w:rsidRDefault="00E64331">
          <w:pPr>
            <w:pStyle w:val="TOC1"/>
            <w:rPr>
              <w:rFonts w:asciiTheme="minorHAnsi" w:hAnsiTheme="minorHAnsi" w:cstheme="minorBidi"/>
              <w:noProof/>
              <w:kern w:val="2"/>
              <w:sz w:val="24"/>
              <w:szCs w:val="24"/>
              <w:lang w:val="en-AU" w:eastAsia="en-AU"/>
              <w14:ligatures w14:val="standardContextual"/>
            </w:rPr>
          </w:pPr>
          <w:hyperlink w:anchor="_Toc207112806" w:history="1">
            <w:r w:rsidRPr="00EB7A64">
              <w:rPr>
                <w:rStyle w:val="Hyperlink"/>
                <w:noProof/>
              </w:rPr>
              <w:t>8.</w:t>
            </w:r>
            <w:r>
              <w:rPr>
                <w:rFonts w:asciiTheme="minorHAnsi" w:hAnsiTheme="minorHAnsi" w:cstheme="minorBidi"/>
                <w:noProof/>
                <w:kern w:val="2"/>
                <w:sz w:val="24"/>
                <w:szCs w:val="24"/>
                <w:lang w:val="en-AU" w:eastAsia="en-AU"/>
                <w14:ligatures w14:val="standardContextual"/>
              </w:rPr>
              <w:tab/>
            </w:r>
            <w:r w:rsidRPr="00EB7A64">
              <w:rPr>
                <w:rStyle w:val="Hyperlink"/>
                <w:noProof/>
              </w:rPr>
              <w:t>Definitions</w:t>
            </w:r>
            <w:r>
              <w:rPr>
                <w:noProof/>
                <w:webHidden/>
              </w:rPr>
              <w:tab/>
            </w:r>
            <w:r>
              <w:rPr>
                <w:noProof/>
                <w:webHidden/>
              </w:rPr>
              <w:fldChar w:fldCharType="begin"/>
            </w:r>
            <w:r>
              <w:rPr>
                <w:noProof/>
                <w:webHidden/>
              </w:rPr>
              <w:instrText xml:space="preserve"> PAGEREF _Toc207112806 \h </w:instrText>
            </w:r>
            <w:r>
              <w:rPr>
                <w:noProof/>
                <w:webHidden/>
              </w:rPr>
            </w:r>
            <w:r>
              <w:rPr>
                <w:noProof/>
                <w:webHidden/>
              </w:rPr>
              <w:fldChar w:fldCharType="separate"/>
            </w:r>
            <w:r>
              <w:rPr>
                <w:noProof/>
                <w:webHidden/>
              </w:rPr>
              <w:t>10</w:t>
            </w:r>
            <w:r>
              <w:rPr>
                <w:noProof/>
                <w:webHidden/>
              </w:rPr>
              <w:fldChar w:fldCharType="end"/>
            </w:r>
          </w:hyperlink>
        </w:p>
        <w:p w14:paraId="4BFBDCAB" w14:textId="120DAFFE" w:rsidR="00E64331" w:rsidRDefault="00E64331">
          <w:pPr>
            <w:pStyle w:val="TOC1"/>
            <w:rPr>
              <w:rFonts w:asciiTheme="minorHAnsi" w:hAnsiTheme="minorHAnsi" w:cstheme="minorBidi"/>
              <w:noProof/>
              <w:kern w:val="2"/>
              <w:sz w:val="24"/>
              <w:szCs w:val="24"/>
              <w:lang w:val="en-AU" w:eastAsia="en-AU"/>
              <w14:ligatures w14:val="standardContextual"/>
            </w:rPr>
          </w:pPr>
          <w:hyperlink w:anchor="_Toc207112807" w:history="1">
            <w:r w:rsidRPr="00EB7A64">
              <w:rPr>
                <w:rStyle w:val="Hyperlink"/>
                <w:noProof/>
              </w:rPr>
              <w:t>9.</w:t>
            </w:r>
            <w:r>
              <w:rPr>
                <w:rFonts w:asciiTheme="minorHAnsi" w:hAnsiTheme="minorHAnsi" w:cstheme="minorBidi"/>
                <w:noProof/>
                <w:kern w:val="2"/>
                <w:sz w:val="24"/>
                <w:szCs w:val="24"/>
                <w:lang w:val="en-AU" w:eastAsia="en-AU"/>
                <w14:ligatures w14:val="standardContextual"/>
              </w:rPr>
              <w:tab/>
            </w:r>
            <w:r w:rsidRPr="00EB7A64">
              <w:rPr>
                <w:rStyle w:val="Hyperlink"/>
                <w:noProof/>
              </w:rPr>
              <w:t>Responsibilities:</w:t>
            </w:r>
            <w:r>
              <w:rPr>
                <w:noProof/>
                <w:webHidden/>
              </w:rPr>
              <w:tab/>
            </w:r>
            <w:r>
              <w:rPr>
                <w:noProof/>
                <w:webHidden/>
              </w:rPr>
              <w:fldChar w:fldCharType="begin"/>
            </w:r>
            <w:r>
              <w:rPr>
                <w:noProof/>
                <w:webHidden/>
              </w:rPr>
              <w:instrText xml:space="preserve"> PAGEREF _Toc207112807 \h </w:instrText>
            </w:r>
            <w:r>
              <w:rPr>
                <w:noProof/>
                <w:webHidden/>
              </w:rPr>
            </w:r>
            <w:r>
              <w:rPr>
                <w:noProof/>
                <w:webHidden/>
              </w:rPr>
              <w:fldChar w:fldCharType="separate"/>
            </w:r>
            <w:r>
              <w:rPr>
                <w:noProof/>
                <w:webHidden/>
              </w:rPr>
              <w:t>11</w:t>
            </w:r>
            <w:r>
              <w:rPr>
                <w:noProof/>
                <w:webHidden/>
              </w:rPr>
              <w:fldChar w:fldCharType="end"/>
            </w:r>
          </w:hyperlink>
        </w:p>
        <w:p w14:paraId="184D65D0" w14:textId="68994208" w:rsidR="00E64331" w:rsidRDefault="00E64331">
          <w:pPr>
            <w:pStyle w:val="TOC1"/>
            <w:rPr>
              <w:rFonts w:asciiTheme="minorHAnsi" w:hAnsiTheme="minorHAnsi" w:cstheme="minorBidi"/>
              <w:noProof/>
              <w:kern w:val="2"/>
              <w:sz w:val="24"/>
              <w:szCs w:val="24"/>
              <w:lang w:val="en-AU" w:eastAsia="en-AU"/>
              <w14:ligatures w14:val="standardContextual"/>
            </w:rPr>
          </w:pPr>
          <w:hyperlink w:anchor="_Toc207112808" w:history="1">
            <w:r w:rsidRPr="00EB7A64">
              <w:rPr>
                <w:rStyle w:val="Hyperlink"/>
                <w:noProof/>
              </w:rPr>
              <w:t>10.</w:t>
            </w:r>
            <w:r>
              <w:rPr>
                <w:rFonts w:asciiTheme="minorHAnsi" w:hAnsiTheme="minorHAnsi" w:cstheme="minorBidi"/>
                <w:noProof/>
                <w:kern w:val="2"/>
                <w:sz w:val="24"/>
                <w:szCs w:val="24"/>
                <w:lang w:val="en-AU" w:eastAsia="en-AU"/>
                <w14:ligatures w14:val="standardContextual"/>
              </w:rPr>
              <w:tab/>
            </w:r>
            <w:r w:rsidRPr="00EB7A64">
              <w:rPr>
                <w:rStyle w:val="Hyperlink"/>
                <w:noProof/>
              </w:rPr>
              <w:t>Document history</w:t>
            </w:r>
            <w:r>
              <w:rPr>
                <w:noProof/>
                <w:webHidden/>
              </w:rPr>
              <w:tab/>
            </w:r>
            <w:r>
              <w:rPr>
                <w:noProof/>
                <w:webHidden/>
              </w:rPr>
              <w:fldChar w:fldCharType="begin"/>
            </w:r>
            <w:r>
              <w:rPr>
                <w:noProof/>
                <w:webHidden/>
              </w:rPr>
              <w:instrText xml:space="preserve"> PAGEREF _Toc207112808 \h </w:instrText>
            </w:r>
            <w:r>
              <w:rPr>
                <w:noProof/>
                <w:webHidden/>
              </w:rPr>
            </w:r>
            <w:r>
              <w:rPr>
                <w:noProof/>
                <w:webHidden/>
              </w:rPr>
              <w:fldChar w:fldCharType="separate"/>
            </w:r>
            <w:r>
              <w:rPr>
                <w:noProof/>
                <w:webHidden/>
              </w:rPr>
              <w:t>12</w:t>
            </w:r>
            <w:r>
              <w:rPr>
                <w:noProof/>
                <w:webHidden/>
              </w:rPr>
              <w:fldChar w:fldCharType="end"/>
            </w:r>
          </w:hyperlink>
        </w:p>
        <w:p w14:paraId="4851AFD3" w14:textId="6C47A04C" w:rsidR="007C15FE" w:rsidRDefault="007C15FE">
          <w:r>
            <w:rPr>
              <w:b/>
              <w:bCs/>
              <w:noProof/>
            </w:rPr>
            <w:fldChar w:fldCharType="end"/>
          </w:r>
        </w:p>
      </w:sdtContent>
    </w:sdt>
    <w:p w14:paraId="22F9B5E5" w14:textId="77777777" w:rsidR="0093181E" w:rsidRDefault="0093181E" w:rsidP="0093181E"/>
    <w:p w14:paraId="59E9C187" w14:textId="77777777" w:rsidR="0093181E" w:rsidRPr="0093181E" w:rsidRDefault="0093181E" w:rsidP="0093181E">
      <w:pPr>
        <w:sectPr w:rsidR="0093181E" w:rsidRPr="0093181E" w:rsidSect="00A93827">
          <w:headerReference w:type="default" r:id="rId11"/>
          <w:footerReference w:type="default" r:id="rId12"/>
          <w:headerReference w:type="first" r:id="rId13"/>
          <w:footerReference w:type="first" r:id="rId14"/>
          <w:pgSz w:w="11906" w:h="16838"/>
          <w:pgMar w:top="3771" w:right="1134" w:bottom="709" w:left="1134" w:header="709" w:footer="0" w:gutter="0"/>
          <w:cols w:space="708"/>
          <w:titlePg/>
          <w:docGrid w:linePitch="360"/>
        </w:sectPr>
      </w:pPr>
    </w:p>
    <w:p w14:paraId="5A272B6F" w14:textId="0DC8E0A3" w:rsidR="00903622" w:rsidRPr="00F92EF4" w:rsidRDefault="00BD6070" w:rsidP="009E59D9">
      <w:pPr>
        <w:pStyle w:val="Heading1"/>
      </w:pPr>
      <w:bookmarkStart w:id="0" w:name="_Toc207112784"/>
      <w:r w:rsidRPr="009E59D9">
        <w:lastRenderedPageBreak/>
        <w:t>P</w:t>
      </w:r>
      <w:r w:rsidR="00EA2409" w:rsidRPr="009E59D9">
        <w:t>urpose</w:t>
      </w:r>
      <w:bookmarkEnd w:id="0"/>
    </w:p>
    <w:p w14:paraId="108795B2" w14:textId="01A73FCA" w:rsidR="00560E79" w:rsidRPr="00411CE2" w:rsidRDefault="00411CE2" w:rsidP="00EF0860">
      <w:pPr>
        <w:rPr>
          <w:rFonts w:cs="Arial"/>
        </w:rPr>
      </w:pPr>
      <w:r w:rsidRPr="00411CE2">
        <w:rPr>
          <w:rFonts w:cs="Arial"/>
        </w:rPr>
        <w:t>The purpose of this Policy is to ensure a clear and consistent approach to assessing and providing support to ratepayers experiencing financial hardship in relation to the payment of rates and associated charges.</w:t>
      </w:r>
    </w:p>
    <w:p w14:paraId="0E208351" w14:textId="5217F504" w:rsidR="00EA2409" w:rsidRPr="00907E7B" w:rsidRDefault="00BD6070" w:rsidP="009E59D9">
      <w:pPr>
        <w:pStyle w:val="Heading1"/>
      </w:pPr>
      <w:bookmarkStart w:id="1" w:name="_Toc207112785"/>
      <w:r w:rsidRPr="00907E7B">
        <w:t>S</w:t>
      </w:r>
      <w:r w:rsidR="00EA2409" w:rsidRPr="00907E7B">
        <w:t>cope</w:t>
      </w:r>
      <w:bookmarkEnd w:id="1"/>
      <w:r w:rsidR="005E1E6D" w:rsidRPr="00907E7B">
        <w:t xml:space="preserve"> </w:t>
      </w:r>
    </w:p>
    <w:p w14:paraId="20ABD0EB" w14:textId="0BC17638" w:rsidR="000C44CD" w:rsidRDefault="00537BA0" w:rsidP="00BA2695">
      <w:r>
        <w:t>Th</w:t>
      </w:r>
      <w:r w:rsidR="00A47F23">
        <w:t>is</w:t>
      </w:r>
      <w:r w:rsidR="00F129E7">
        <w:t xml:space="preserve"> </w:t>
      </w:r>
      <w:r>
        <w:t xml:space="preserve">policy </w:t>
      </w:r>
      <w:r w:rsidR="00A47F23">
        <w:t xml:space="preserve">applies to instances of </w:t>
      </w:r>
      <w:r w:rsidR="00F129E7">
        <w:t>f</w:t>
      </w:r>
      <w:r w:rsidR="00231C32">
        <w:t xml:space="preserve">inancial hardship </w:t>
      </w:r>
      <w:r w:rsidR="00A47F23">
        <w:t xml:space="preserve">specifically related to the payment of </w:t>
      </w:r>
      <w:r w:rsidR="00231C32">
        <w:t>r</w:t>
      </w:r>
      <w:r w:rsidR="00FD5B48">
        <w:t xml:space="preserve">ates and </w:t>
      </w:r>
      <w:r w:rsidR="00A47F23">
        <w:t xml:space="preserve">associated </w:t>
      </w:r>
      <w:r w:rsidR="00231C32">
        <w:t>c</w:t>
      </w:r>
      <w:r w:rsidR="00FD5B48">
        <w:t>harges</w:t>
      </w:r>
      <w:r w:rsidR="008858C0">
        <w:t xml:space="preserve"> including Emergency Services Volunteer Fund </w:t>
      </w:r>
      <w:r w:rsidR="000D0F62">
        <w:t>Levy (ESVF)</w:t>
      </w:r>
      <w:r w:rsidR="00FB07BC">
        <w:t xml:space="preserve">. </w:t>
      </w:r>
    </w:p>
    <w:p w14:paraId="38BA0190" w14:textId="16BB9599" w:rsidR="005D015C" w:rsidRDefault="00B47128" w:rsidP="009E59D9">
      <w:pPr>
        <w:pStyle w:val="Heading1"/>
      </w:pPr>
      <w:bookmarkStart w:id="2" w:name="_Toc207112786"/>
      <w:r>
        <w:t xml:space="preserve">Prioritised </w:t>
      </w:r>
      <w:r w:rsidR="00F310C0">
        <w:t xml:space="preserve">Hardship </w:t>
      </w:r>
      <w:r>
        <w:t>Assistance</w:t>
      </w:r>
      <w:bookmarkEnd w:id="2"/>
    </w:p>
    <w:p w14:paraId="7E43BBC7" w14:textId="439AE516" w:rsidR="00F7265B" w:rsidRPr="00AB13F8" w:rsidRDefault="00F7265B" w:rsidP="00F7265B">
      <w:r w:rsidRPr="00AB13F8">
        <w:t xml:space="preserve">Where ratepayers experience financial hardship, Council Officers will assist ratepayers to meet their rate and charges obligations to Council in accordance with the following prioritised assistance (subject to eligibility): </w:t>
      </w:r>
    </w:p>
    <w:p w14:paraId="3B166658" w14:textId="72CFC432" w:rsidR="000D7FA3" w:rsidRDefault="00F7265B" w:rsidP="00CD27DC">
      <w:pPr>
        <w:pStyle w:val="ListParagraph"/>
        <w:spacing w:line="240" w:lineRule="auto"/>
        <w:ind w:left="714" w:hanging="357"/>
        <w:contextualSpacing w:val="0"/>
      </w:pPr>
      <w:r>
        <w:t>Pensioner Rebate</w:t>
      </w:r>
    </w:p>
    <w:p w14:paraId="6560FFC1" w14:textId="6E7B10AF" w:rsidR="000D7FA3" w:rsidRDefault="00F7265B" w:rsidP="00225114">
      <w:pPr>
        <w:pStyle w:val="ListParagraph"/>
        <w:spacing w:line="240" w:lineRule="auto"/>
        <w:ind w:left="714" w:hanging="357"/>
        <w:contextualSpacing w:val="0"/>
      </w:pPr>
      <w:r>
        <w:t>Payment Plans</w:t>
      </w:r>
    </w:p>
    <w:p w14:paraId="50451799" w14:textId="5E3A7EF4" w:rsidR="00F7265B" w:rsidRDefault="00F7265B" w:rsidP="00225114">
      <w:pPr>
        <w:pStyle w:val="ListParagraph"/>
        <w:spacing w:line="240" w:lineRule="auto"/>
        <w:ind w:left="714" w:hanging="357"/>
        <w:contextualSpacing w:val="0"/>
      </w:pPr>
      <w:r>
        <w:t>Deferred Payment</w:t>
      </w:r>
      <w:r w:rsidR="00922901">
        <w:t>s</w:t>
      </w:r>
      <w:r>
        <w:t xml:space="preserve"> (Deferment)</w:t>
      </w:r>
    </w:p>
    <w:p w14:paraId="332C393D" w14:textId="2EADC6D5" w:rsidR="00F7265B" w:rsidRDefault="00F7265B" w:rsidP="00225114">
      <w:pPr>
        <w:pStyle w:val="ListParagraph"/>
        <w:spacing w:line="240" w:lineRule="auto"/>
        <w:ind w:left="714" w:hanging="357"/>
        <w:contextualSpacing w:val="0"/>
      </w:pPr>
      <w:r>
        <w:t>Waiver of Interest and Legal Charges</w:t>
      </w:r>
    </w:p>
    <w:p w14:paraId="468692F2" w14:textId="7D957E26" w:rsidR="00F7265B" w:rsidRDefault="00F7265B" w:rsidP="00225114">
      <w:pPr>
        <w:pStyle w:val="ListParagraph"/>
        <w:spacing w:line="240" w:lineRule="auto"/>
        <w:ind w:left="714" w:hanging="357"/>
        <w:contextualSpacing w:val="0"/>
      </w:pPr>
      <w:r>
        <w:t>Waiver of Rates and Charges</w:t>
      </w:r>
    </w:p>
    <w:p w14:paraId="3B234DA7" w14:textId="333D51D6" w:rsidR="0028060F" w:rsidRPr="00C17515" w:rsidRDefault="00074D05" w:rsidP="009E59D9">
      <w:pPr>
        <w:pStyle w:val="Heading2"/>
        <w:rPr>
          <w:color w:val="1F4E79" w:themeColor="accent5" w:themeShade="80"/>
        </w:rPr>
      </w:pPr>
      <w:bookmarkStart w:id="3" w:name="_Toc207112787"/>
      <w:r w:rsidRPr="00C17515">
        <w:rPr>
          <w:color w:val="1F4E79" w:themeColor="accent5" w:themeShade="80"/>
        </w:rPr>
        <w:t>Pensioner Rebate</w:t>
      </w:r>
      <w:bookmarkEnd w:id="3"/>
    </w:p>
    <w:p w14:paraId="5C85FA58" w14:textId="5FF3AD85" w:rsidR="00DD0C9B" w:rsidRDefault="00576E9A" w:rsidP="00BF0232">
      <w:pPr>
        <w:jc w:val="both"/>
        <w:rPr>
          <w:noProof/>
        </w:rPr>
      </w:pPr>
      <w:r>
        <w:rPr>
          <w:noProof/>
        </w:rPr>
        <w:t>Eligible p</w:t>
      </w:r>
      <w:r w:rsidR="001A6C67" w:rsidRPr="2675D02E">
        <w:rPr>
          <w:noProof/>
        </w:rPr>
        <w:t xml:space="preserve">ensioners </w:t>
      </w:r>
      <w:r w:rsidR="00121B90">
        <w:rPr>
          <w:noProof/>
        </w:rPr>
        <w:t xml:space="preserve">may apply </w:t>
      </w:r>
      <w:r w:rsidR="005F77B2">
        <w:rPr>
          <w:noProof/>
        </w:rPr>
        <w:t xml:space="preserve">for </w:t>
      </w:r>
      <w:r w:rsidR="00BF0232">
        <w:rPr>
          <w:noProof/>
        </w:rPr>
        <w:t>the Victorian Government</w:t>
      </w:r>
      <w:r>
        <w:rPr>
          <w:noProof/>
        </w:rPr>
        <w:t>’s</w:t>
      </w:r>
      <w:r w:rsidR="00BF0232">
        <w:rPr>
          <w:noProof/>
        </w:rPr>
        <w:t xml:space="preserve"> </w:t>
      </w:r>
      <w:r>
        <w:rPr>
          <w:noProof/>
        </w:rPr>
        <w:t>p</w:t>
      </w:r>
      <w:r w:rsidR="00BF0232">
        <w:rPr>
          <w:noProof/>
        </w:rPr>
        <w:t xml:space="preserve">ensioner rebates </w:t>
      </w:r>
      <w:r>
        <w:rPr>
          <w:noProof/>
        </w:rPr>
        <w:t>on</w:t>
      </w:r>
      <w:r w:rsidR="00480C15">
        <w:rPr>
          <w:noProof/>
        </w:rPr>
        <w:t xml:space="preserve"> municiapl rates and charges. These </w:t>
      </w:r>
      <w:r>
        <w:rPr>
          <w:noProof/>
        </w:rPr>
        <w:t xml:space="preserve">rebates </w:t>
      </w:r>
      <w:r w:rsidR="000A6FDB">
        <w:rPr>
          <w:noProof/>
        </w:rPr>
        <w:t xml:space="preserve">are </w:t>
      </w:r>
      <w:r w:rsidR="00B7777E">
        <w:rPr>
          <w:noProof/>
        </w:rPr>
        <w:t xml:space="preserve">reviewed and </w:t>
      </w:r>
      <w:r w:rsidR="000A6FDB">
        <w:rPr>
          <w:noProof/>
        </w:rPr>
        <w:t>adjust</w:t>
      </w:r>
      <w:r w:rsidR="00B7777E">
        <w:rPr>
          <w:noProof/>
        </w:rPr>
        <w:t xml:space="preserve">ed annually </w:t>
      </w:r>
      <w:r w:rsidR="000A6FDB">
        <w:rPr>
          <w:noProof/>
        </w:rPr>
        <w:t xml:space="preserve">by the </w:t>
      </w:r>
      <w:r w:rsidR="00BF0232">
        <w:rPr>
          <w:noProof/>
        </w:rPr>
        <w:t>Victorian Government</w:t>
      </w:r>
      <w:r w:rsidR="00480C15">
        <w:rPr>
          <w:noProof/>
        </w:rPr>
        <w:t xml:space="preserve">. </w:t>
      </w:r>
    </w:p>
    <w:p w14:paraId="4694140A" w14:textId="56AFBC7F" w:rsidR="00F30D9D" w:rsidRDefault="00DD0C9B" w:rsidP="00BF0232">
      <w:pPr>
        <w:jc w:val="both"/>
        <w:rPr>
          <w:noProof/>
        </w:rPr>
      </w:pPr>
      <w:r>
        <w:rPr>
          <w:noProof/>
        </w:rPr>
        <w:t>In addition</w:t>
      </w:r>
      <w:r w:rsidR="00B7777E">
        <w:rPr>
          <w:noProof/>
        </w:rPr>
        <w:t xml:space="preserve"> to the </w:t>
      </w:r>
      <w:r w:rsidR="003D6B64">
        <w:rPr>
          <w:noProof/>
        </w:rPr>
        <w:t>State rebate</w:t>
      </w:r>
      <w:r>
        <w:rPr>
          <w:noProof/>
        </w:rPr>
        <w:t xml:space="preserve">, pensioners who qualify for the Victorian Government rebate will automatically receive a Council-funded </w:t>
      </w:r>
      <w:r w:rsidRPr="2675D02E">
        <w:rPr>
          <w:noProof/>
        </w:rPr>
        <w:t>pensioner rebate</w:t>
      </w:r>
      <w:r w:rsidR="003D6B64">
        <w:rPr>
          <w:noProof/>
        </w:rPr>
        <w:t>. This rebate</w:t>
      </w:r>
      <w:r>
        <w:rPr>
          <w:noProof/>
        </w:rPr>
        <w:t xml:space="preserve"> is determined </w:t>
      </w:r>
      <w:r w:rsidR="00C0713F">
        <w:rPr>
          <w:noProof/>
        </w:rPr>
        <w:t xml:space="preserve">each year </w:t>
      </w:r>
      <w:r>
        <w:rPr>
          <w:noProof/>
        </w:rPr>
        <w:t xml:space="preserve">as part of </w:t>
      </w:r>
      <w:r w:rsidR="00C0713F">
        <w:rPr>
          <w:noProof/>
        </w:rPr>
        <w:t xml:space="preserve">Council’s </w:t>
      </w:r>
      <w:r>
        <w:rPr>
          <w:noProof/>
        </w:rPr>
        <w:t>Budget</w:t>
      </w:r>
      <w:r w:rsidR="00C0713F">
        <w:rPr>
          <w:noProof/>
        </w:rPr>
        <w:t xml:space="preserve"> process</w:t>
      </w:r>
      <w:r>
        <w:rPr>
          <w:noProof/>
        </w:rPr>
        <w:t>.</w:t>
      </w:r>
    </w:p>
    <w:p w14:paraId="1902F010" w14:textId="1AB65F30" w:rsidR="00BF0232" w:rsidRDefault="0020012A" w:rsidP="00BF0232">
      <w:pPr>
        <w:jc w:val="both"/>
        <w:rPr>
          <w:noProof/>
        </w:rPr>
      </w:pPr>
      <w:r>
        <w:rPr>
          <w:noProof/>
        </w:rPr>
        <w:t xml:space="preserve">Rebates for </w:t>
      </w:r>
      <w:r w:rsidR="00480C15">
        <w:rPr>
          <w:noProof/>
        </w:rPr>
        <w:t>2025/26</w:t>
      </w:r>
      <w:r>
        <w:rPr>
          <w:noProof/>
        </w:rPr>
        <w:t xml:space="preserve"> are as follows:</w:t>
      </w:r>
    </w:p>
    <w:p w14:paraId="20C0664A" w14:textId="7407199C" w:rsidR="00BF0232" w:rsidRPr="00B43CB4" w:rsidRDefault="00301F26" w:rsidP="00965738">
      <w:pPr>
        <w:pStyle w:val="ListParagraph"/>
        <w:numPr>
          <w:ilvl w:val="0"/>
          <w:numId w:val="26"/>
        </w:numPr>
        <w:rPr>
          <w:noProof/>
        </w:rPr>
      </w:pPr>
      <w:r>
        <w:rPr>
          <w:noProof/>
        </w:rPr>
        <w:t xml:space="preserve">State-funded </w:t>
      </w:r>
      <w:r w:rsidR="00BF0232" w:rsidRPr="00B43CB4">
        <w:rPr>
          <w:noProof/>
        </w:rPr>
        <w:t>rebate</w:t>
      </w:r>
      <w:r w:rsidR="000A6FDB" w:rsidRPr="00B43CB4">
        <w:rPr>
          <w:noProof/>
        </w:rPr>
        <w:t>:</w:t>
      </w:r>
      <w:r w:rsidR="00BF0232" w:rsidRPr="00B43CB4">
        <w:rPr>
          <w:noProof/>
        </w:rPr>
        <w:t xml:space="preserve"> $266</w:t>
      </w:r>
      <w:r w:rsidR="006F4B25" w:rsidRPr="00B43CB4">
        <w:rPr>
          <w:noProof/>
        </w:rPr>
        <w:t>.</w:t>
      </w:r>
    </w:p>
    <w:p w14:paraId="00F971A9" w14:textId="6D73E260" w:rsidR="0085150D" w:rsidRDefault="00BF0232" w:rsidP="00965738">
      <w:pPr>
        <w:pStyle w:val="ListParagraph"/>
        <w:numPr>
          <w:ilvl w:val="0"/>
          <w:numId w:val="26"/>
        </w:numPr>
        <w:rPr>
          <w:noProof/>
        </w:rPr>
      </w:pPr>
      <w:r w:rsidRPr="00B43CB4">
        <w:rPr>
          <w:noProof/>
        </w:rPr>
        <w:t>E</w:t>
      </w:r>
      <w:r w:rsidR="000A6FDB" w:rsidRPr="00B43CB4">
        <w:rPr>
          <w:noProof/>
        </w:rPr>
        <w:t>mergency Service Volunteer Fund</w:t>
      </w:r>
      <w:r w:rsidR="008C697B" w:rsidRPr="00B43CB4">
        <w:rPr>
          <w:noProof/>
        </w:rPr>
        <w:t xml:space="preserve"> (ESVF)</w:t>
      </w:r>
      <w:r w:rsidRPr="00B43CB4">
        <w:rPr>
          <w:noProof/>
        </w:rPr>
        <w:t xml:space="preserve"> rebate</w:t>
      </w:r>
      <w:r w:rsidR="008C697B" w:rsidRPr="00B43CB4">
        <w:rPr>
          <w:noProof/>
        </w:rPr>
        <w:t>:</w:t>
      </w:r>
      <w:r w:rsidRPr="00B43CB4">
        <w:rPr>
          <w:noProof/>
        </w:rPr>
        <w:t xml:space="preserve"> </w:t>
      </w:r>
      <w:r w:rsidR="007142F1">
        <w:rPr>
          <w:noProof/>
        </w:rPr>
        <w:t>$50 (f</w:t>
      </w:r>
      <w:r w:rsidR="008C697B" w:rsidRPr="00B43CB4">
        <w:rPr>
          <w:noProof/>
        </w:rPr>
        <w:t>ixed</w:t>
      </w:r>
      <w:r w:rsidR="00453557">
        <w:rPr>
          <w:noProof/>
        </w:rPr>
        <w:t xml:space="preserve"> component</w:t>
      </w:r>
      <w:r w:rsidR="007142F1">
        <w:rPr>
          <w:noProof/>
        </w:rPr>
        <w:t>)</w:t>
      </w:r>
    </w:p>
    <w:p w14:paraId="1020DB82" w14:textId="5376DC32" w:rsidR="00BF0232" w:rsidRPr="00B43CB4" w:rsidRDefault="00DD0C9B" w:rsidP="00965738">
      <w:pPr>
        <w:pStyle w:val="ListParagraph"/>
        <w:numPr>
          <w:ilvl w:val="0"/>
          <w:numId w:val="26"/>
        </w:numPr>
        <w:rPr>
          <w:noProof/>
        </w:rPr>
      </w:pPr>
      <w:r>
        <w:rPr>
          <w:noProof/>
        </w:rPr>
        <w:t>Council</w:t>
      </w:r>
      <w:r w:rsidR="0085150D">
        <w:rPr>
          <w:noProof/>
        </w:rPr>
        <w:t>-funded</w:t>
      </w:r>
      <w:r>
        <w:rPr>
          <w:noProof/>
        </w:rPr>
        <w:t xml:space="preserve"> </w:t>
      </w:r>
      <w:r w:rsidRPr="2675D02E">
        <w:rPr>
          <w:noProof/>
        </w:rPr>
        <w:t xml:space="preserve">rebate </w:t>
      </w:r>
      <w:r>
        <w:rPr>
          <w:noProof/>
        </w:rPr>
        <w:t xml:space="preserve">is </w:t>
      </w:r>
      <w:r w:rsidRPr="2675D02E">
        <w:rPr>
          <w:noProof/>
        </w:rPr>
        <w:t xml:space="preserve">set </w:t>
      </w:r>
      <w:r>
        <w:rPr>
          <w:noProof/>
        </w:rPr>
        <w:t>at</w:t>
      </w:r>
      <w:r w:rsidRPr="00FE6F01">
        <w:rPr>
          <w:noProof/>
        </w:rPr>
        <w:t xml:space="preserve"> $230</w:t>
      </w:r>
      <w:r>
        <w:rPr>
          <w:noProof/>
        </w:rPr>
        <w:t>.</w:t>
      </w:r>
    </w:p>
    <w:p w14:paraId="338EEF30" w14:textId="039D8E95" w:rsidR="00620105" w:rsidRDefault="00620105">
      <w:pPr>
        <w:rPr>
          <w:noProof/>
        </w:rPr>
      </w:pPr>
      <w:bookmarkStart w:id="4" w:name="_Toc207112788"/>
      <w:r>
        <w:rPr>
          <w:noProof/>
        </w:rPr>
        <w:t xml:space="preserve">The total rebate is capped to 50% of </w:t>
      </w:r>
      <w:r w:rsidR="007142F1">
        <w:rPr>
          <w:noProof/>
        </w:rPr>
        <w:t xml:space="preserve">the </w:t>
      </w:r>
      <w:r>
        <w:rPr>
          <w:noProof/>
        </w:rPr>
        <w:t>total rates and charges</w:t>
      </w:r>
      <w:r w:rsidR="009D30A3">
        <w:rPr>
          <w:noProof/>
        </w:rPr>
        <w:t>.</w:t>
      </w:r>
    </w:p>
    <w:p w14:paraId="65D7AE29" w14:textId="3F84020A" w:rsidR="0085150D" w:rsidRDefault="009D30A3">
      <w:pPr>
        <w:rPr>
          <w:rFonts w:eastAsiaTheme="majorEastAsia" w:cs="Arial"/>
          <w:b/>
          <w:bCs/>
          <w:sz w:val="24"/>
          <w:szCs w:val="24"/>
        </w:rPr>
      </w:pPr>
      <w:r>
        <w:rPr>
          <w:noProof/>
        </w:rPr>
        <w:t>All rebate amounts are subject to updates in line with decisions made by the Victorian Government</w:t>
      </w:r>
      <w:r w:rsidR="0020012A">
        <w:rPr>
          <w:noProof/>
        </w:rPr>
        <w:t xml:space="preserve"> and Council. </w:t>
      </w:r>
      <w:r w:rsidR="0085150D">
        <w:br w:type="page"/>
      </w:r>
    </w:p>
    <w:p w14:paraId="0BA6A278" w14:textId="11EA5551" w:rsidR="002C4407" w:rsidRDefault="000A7A78" w:rsidP="000A7A78">
      <w:pPr>
        <w:pStyle w:val="Heading3"/>
        <w:ind w:left="1276" w:hanging="850"/>
      </w:pPr>
      <w:r>
        <w:lastRenderedPageBreak/>
        <w:t xml:space="preserve">Pensioner </w:t>
      </w:r>
      <w:r w:rsidR="00524BBB">
        <w:t>Rebate</w:t>
      </w:r>
      <w:r>
        <w:t xml:space="preserve"> Delegations</w:t>
      </w:r>
      <w:r w:rsidR="00524BBB">
        <w:t>:</w:t>
      </w:r>
      <w:bookmarkEnd w:id="4"/>
    </w:p>
    <w:tbl>
      <w:tblPr>
        <w:tblStyle w:val="TableGrid"/>
        <w:tblpPr w:leftFromText="180" w:rightFromText="180" w:vertAnchor="text" w:horzAnchor="margin" w:tblpX="421" w:tblpY="188"/>
        <w:tblW w:w="0" w:type="auto"/>
        <w:tblLook w:val="04A0" w:firstRow="1" w:lastRow="0" w:firstColumn="1" w:lastColumn="0" w:noHBand="0" w:noVBand="1"/>
      </w:tblPr>
      <w:tblGrid>
        <w:gridCol w:w="5382"/>
        <w:gridCol w:w="3827"/>
      </w:tblGrid>
      <w:tr w:rsidR="00537172" w:rsidRPr="009D621A" w14:paraId="619C03D4" w14:textId="77777777" w:rsidTr="00537172">
        <w:tc>
          <w:tcPr>
            <w:tcW w:w="5382" w:type="dxa"/>
            <w:shd w:val="clear" w:color="auto" w:fill="70AD47" w:themeFill="accent6"/>
          </w:tcPr>
          <w:p w14:paraId="7CFE3134" w14:textId="77777777" w:rsidR="00537172" w:rsidRPr="00C02688" w:rsidRDefault="00537172" w:rsidP="009E40AF">
            <w:pPr>
              <w:pStyle w:val="Tableheading"/>
              <w:spacing w:before="40" w:after="40"/>
              <w:rPr>
                <w:szCs w:val="22"/>
              </w:rPr>
            </w:pPr>
            <w:r w:rsidRPr="00C02688">
              <w:rPr>
                <w:szCs w:val="22"/>
              </w:rPr>
              <w:t>Authoriser</w:t>
            </w:r>
          </w:p>
        </w:tc>
        <w:tc>
          <w:tcPr>
            <w:tcW w:w="3827" w:type="dxa"/>
            <w:shd w:val="clear" w:color="auto" w:fill="70AD47" w:themeFill="accent6"/>
          </w:tcPr>
          <w:p w14:paraId="3EB284C3" w14:textId="4713E83E" w:rsidR="00537172" w:rsidRPr="00C02688" w:rsidRDefault="00337949" w:rsidP="009E40AF">
            <w:pPr>
              <w:pStyle w:val="Tableheading"/>
              <w:spacing w:before="40" w:after="40"/>
              <w:jc w:val="center"/>
              <w:rPr>
                <w:szCs w:val="22"/>
              </w:rPr>
            </w:pPr>
            <w:r>
              <w:rPr>
                <w:szCs w:val="22"/>
              </w:rPr>
              <w:t>Amount</w:t>
            </w:r>
          </w:p>
        </w:tc>
      </w:tr>
      <w:tr w:rsidR="00537172" w:rsidRPr="009D621A" w14:paraId="4F87654B" w14:textId="77777777" w:rsidTr="00537172">
        <w:tc>
          <w:tcPr>
            <w:tcW w:w="5382" w:type="dxa"/>
          </w:tcPr>
          <w:p w14:paraId="45C0DDBE" w14:textId="77777777" w:rsidR="00537172" w:rsidRDefault="00B56D31" w:rsidP="009E40AF">
            <w:pPr>
              <w:spacing w:before="120"/>
            </w:pPr>
            <w:r>
              <w:t>Team Leader Rates</w:t>
            </w:r>
          </w:p>
          <w:p w14:paraId="4C44F263" w14:textId="77777777" w:rsidR="00B04F6B" w:rsidRDefault="00B04F6B" w:rsidP="009E40AF">
            <w:pPr>
              <w:spacing w:before="120"/>
            </w:pPr>
            <w:r w:rsidRPr="00B80774">
              <w:t>Coordinator Revenue &amp; Valuations</w:t>
            </w:r>
          </w:p>
          <w:p w14:paraId="394BD7CC" w14:textId="0C1392D7" w:rsidR="00B04F6B" w:rsidRPr="00B80774" w:rsidRDefault="00B04F6B" w:rsidP="009E40AF">
            <w:pPr>
              <w:spacing w:before="120"/>
            </w:pPr>
            <w:r w:rsidRPr="00B80774">
              <w:t>Chief Financial Officer</w:t>
            </w:r>
            <w:r w:rsidRPr="00B80774">
              <w:rPr>
                <w:bCs/>
              </w:rPr>
              <w:t xml:space="preserve">  </w:t>
            </w:r>
          </w:p>
        </w:tc>
        <w:tc>
          <w:tcPr>
            <w:tcW w:w="3827" w:type="dxa"/>
          </w:tcPr>
          <w:p w14:paraId="2DA289A6" w14:textId="4986012F" w:rsidR="00537172" w:rsidRPr="00204268" w:rsidRDefault="007E0ED8" w:rsidP="009E40AF">
            <w:pPr>
              <w:spacing w:before="120"/>
              <w:jc w:val="center"/>
            </w:pPr>
            <w:r>
              <w:t xml:space="preserve">The lower of total </w:t>
            </w:r>
            <w:r w:rsidR="00A406DC">
              <w:t xml:space="preserve">applicable </w:t>
            </w:r>
            <w:r w:rsidR="006F04A4">
              <w:t>rebates</w:t>
            </w:r>
            <w:r>
              <w:t xml:space="preserve"> </w:t>
            </w:r>
            <w:r w:rsidR="00B04F6B">
              <w:t>or</w:t>
            </w:r>
            <w:r>
              <w:t xml:space="preserve"> </w:t>
            </w:r>
            <w:r w:rsidR="00337949">
              <w:t>50% of</w:t>
            </w:r>
            <w:r w:rsidR="006F04A4">
              <w:t xml:space="preserve"> total</w:t>
            </w:r>
            <w:r w:rsidR="00337949">
              <w:t xml:space="preserve"> rates</w:t>
            </w:r>
            <w:r w:rsidR="006F04A4">
              <w:t xml:space="preserve"> and charges</w:t>
            </w:r>
            <w:r w:rsidR="00A406DC">
              <w:t>.</w:t>
            </w:r>
          </w:p>
        </w:tc>
      </w:tr>
    </w:tbl>
    <w:p w14:paraId="609FB22A" w14:textId="77777777" w:rsidR="009D30A3" w:rsidRDefault="009D30A3" w:rsidP="009D30A3">
      <w:bookmarkStart w:id="5" w:name="_Toc207112789"/>
    </w:p>
    <w:p w14:paraId="2E19B37A" w14:textId="464F05D6" w:rsidR="00876C7E" w:rsidRPr="00C17515" w:rsidRDefault="00876C7E" w:rsidP="00876C7E">
      <w:pPr>
        <w:pStyle w:val="Heading2"/>
        <w:rPr>
          <w:color w:val="1F4E79" w:themeColor="accent5" w:themeShade="80"/>
        </w:rPr>
      </w:pPr>
      <w:r w:rsidRPr="00C17515">
        <w:rPr>
          <w:color w:val="1F4E79" w:themeColor="accent5" w:themeShade="80"/>
        </w:rPr>
        <w:t>P</w:t>
      </w:r>
      <w:r w:rsidR="003B1A12" w:rsidRPr="00C17515">
        <w:rPr>
          <w:color w:val="1F4E79" w:themeColor="accent5" w:themeShade="80"/>
        </w:rPr>
        <w:t>ayment Plans</w:t>
      </w:r>
      <w:bookmarkEnd w:id="5"/>
    </w:p>
    <w:p w14:paraId="2B071D8C" w14:textId="013E8500" w:rsidR="00876C7E" w:rsidRDefault="009E6B0D" w:rsidP="00876C7E">
      <w:pPr>
        <w:jc w:val="both"/>
      </w:pPr>
      <w:r>
        <w:rPr>
          <w:noProof/>
        </w:rPr>
        <w:t>Ratepayers</w:t>
      </w:r>
      <w:r w:rsidR="008230A5">
        <w:rPr>
          <w:noProof/>
        </w:rPr>
        <w:t xml:space="preserve"> who are</w:t>
      </w:r>
      <w:r>
        <w:rPr>
          <w:noProof/>
        </w:rPr>
        <w:t xml:space="preserve"> experiencing financial difficulties and </w:t>
      </w:r>
      <w:r w:rsidR="008230A5">
        <w:rPr>
          <w:noProof/>
        </w:rPr>
        <w:t xml:space="preserve">are </w:t>
      </w:r>
      <w:r>
        <w:rPr>
          <w:noProof/>
        </w:rPr>
        <w:t xml:space="preserve">unable to pay outstanding rates and charges </w:t>
      </w:r>
      <w:r w:rsidR="008230A5">
        <w:rPr>
          <w:noProof/>
        </w:rPr>
        <w:t xml:space="preserve">through </w:t>
      </w:r>
      <w:r>
        <w:rPr>
          <w:noProof/>
        </w:rPr>
        <w:t>standard payment options may apply for a payment plan, subject to the following condition</w:t>
      </w:r>
      <w:r w:rsidR="00852C4F">
        <w:rPr>
          <w:noProof/>
        </w:rPr>
        <w:t>s</w:t>
      </w:r>
      <w:r>
        <w:rPr>
          <w:noProof/>
        </w:rPr>
        <w:t>:</w:t>
      </w:r>
    </w:p>
    <w:p w14:paraId="6C10D22D" w14:textId="77777777" w:rsidR="00406087" w:rsidRDefault="006F3D46" w:rsidP="003857F0">
      <w:pPr>
        <w:pStyle w:val="ListParagraph"/>
        <w:numPr>
          <w:ilvl w:val="0"/>
          <w:numId w:val="16"/>
        </w:numPr>
        <w:spacing w:line="240" w:lineRule="auto"/>
        <w:contextualSpacing w:val="0"/>
      </w:pPr>
      <w:r>
        <w:t xml:space="preserve">The </w:t>
      </w:r>
      <w:r w:rsidR="00406087">
        <w:t>ratepayer must be able to demonstrate they are experiencing Financial Hardship.</w:t>
      </w:r>
    </w:p>
    <w:p w14:paraId="558E21F5" w14:textId="1FA36611" w:rsidR="00723E54" w:rsidRDefault="00723E54" w:rsidP="003857F0">
      <w:pPr>
        <w:pStyle w:val="ListParagraph"/>
        <w:numPr>
          <w:ilvl w:val="0"/>
          <w:numId w:val="16"/>
        </w:numPr>
        <w:spacing w:line="240" w:lineRule="auto"/>
        <w:contextualSpacing w:val="0"/>
      </w:pPr>
      <w:r>
        <w:t xml:space="preserve">A payment plan request must be confirmed in writing, </w:t>
      </w:r>
      <w:r w:rsidR="00852C4F">
        <w:t xml:space="preserve">either </w:t>
      </w:r>
      <w:r>
        <w:t>by email or through the appropriate form on Council’s website, specifying the proposed payment dates and amounts.</w:t>
      </w:r>
    </w:p>
    <w:p w14:paraId="12799605" w14:textId="77777777" w:rsidR="001700F1" w:rsidRPr="00C355A6" w:rsidRDefault="001700F1" w:rsidP="001700F1">
      <w:pPr>
        <w:pStyle w:val="ListParagraph"/>
        <w:numPr>
          <w:ilvl w:val="0"/>
          <w:numId w:val="16"/>
        </w:numPr>
        <w:spacing w:line="240" w:lineRule="auto"/>
        <w:contextualSpacing w:val="0"/>
      </w:pPr>
      <w:bookmarkStart w:id="6" w:name="_Hlk51314113"/>
      <w:r w:rsidRPr="2675D02E">
        <w:t xml:space="preserve">The payment plan will </w:t>
      </w:r>
      <w:r>
        <w:t>be</w:t>
      </w:r>
      <w:r w:rsidRPr="2675D02E">
        <w:t xml:space="preserve"> </w:t>
      </w:r>
      <w:r>
        <w:t xml:space="preserve">valid for a maximum of </w:t>
      </w:r>
      <w:r w:rsidRPr="2675D02E">
        <w:t xml:space="preserve">twenty-four (24) months </w:t>
      </w:r>
      <w:r>
        <w:t xml:space="preserve">from the end of the </w:t>
      </w:r>
      <w:r w:rsidRPr="2675D02E">
        <w:t>financial year the arrangement was entered into.</w:t>
      </w:r>
    </w:p>
    <w:bookmarkEnd w:id="6"/>
    <w:p w14:paraId="48B9A166" w14:textId="475C76AE" w:rsidR="00723E54" w:rsidRDefault="00382457" w:rsidP="003857F0">
      <w:pPr>
        <w:pStyle w:val="ListParagraph"/>
        <w:numPr>
          <w:ilvl w:val="0"/>
          <w:numId w:val="16"/>
        </w:numPr>
        <w:spacing w:line="240" w:lineRule="auto"/>
        <w:contextualSpacing w:val="0"/>
      </w:pPr>
      <w:r>
        <w:t>In general, l</w:t>
      </w:r>
      <w:r w:rsidR="00723E54" w:rsidRPr="3F72E8CB">
        <w:t xml:space="preserve">ate payment penalty interest will be placed on hold </w:t>
      </w:r>
      <w:r w:rsidR="00723E54" w:rsidRPr="00723E54">
        <w:t xml:space="preserve">until </w:t>
      </w:r>
      <w:r w:rsidR="00443ECB">
        <w:t>last day of the relevant rating year</w:t>
      </w:r>
      <w:r w:rsidR="00723E54" w:rsidRPr="3F72E8CB">
        <w:t xml:space="preserve"> for all approved payment plans. The ratepayer accepts that interest will be</w:t>
      </w:r>
      <w:r w:rsidR="00343471">
        <w:t xml:space="preserve"> charged on any outstanding amounts after this date, at the rate </w:t>
      </w:r>
      <w:r w:rsidR="00723E54" w:rsidRPr="3F72E8CB">
        <w:t>set by the Attorney General (</w:t>
      </w:r>
      <w:r w:rsidR="00723E54" w:rsidRPr="00723E54">
        <w:t>Penalty Interest Rates Act 1983</w:t>
      </w:r>
      <w:r w:rsidR="00723E54" w:rsidRPr="3F72E8CB">
        <w:t>)</w:t>
      </w:r>
      <w:r w:rsidR="00723E54" w:rsidRPr="00723E54">
        <w:t xml:space="preserve">. </w:t>
      </w:r>
    </w:p>
    <w:p w14:paraId="03890F45" w14:textId="217BC0C1" w:rsidR="00382457" w:rsidRPr="00527BC5" w:rsidRDefault="00D064EF" w:rsidP="003857F0">
      <w:pPr>
        <w:pStyle w:val="ListParagraph"/>
        <w:numPr>
          <w:ilvl w:val="0"/>
          <w:numId w:val="16"/>
        </w:numPr>
        <w:spacing w:line="240" w:lineRule="auto"/>
        <w:contextualSpacing w:val="0"/>
      </w:pPr>
      <w:r>
        <w:t xml:space="preserve">For balances </w:t>
      </w:r>
      <w:r w:rsidR="002656A6">
        <w:t>exceeding</w:t>
      </w:r>
      <w:r>
        <w:t xml:space="preserve"> $100,000</w:t>
      </w:r>
      <w:r w:rsidR="00E47F99">
        <w:t>,</w:t>
      </w:r>
      <w:r>
        <w:t xml:space="preserve"> interest may be charged at </w:t>
      </w:r>
      <w:r w:rsidR="006C49B8">
        <w:t xml:space="preserve">50% of </w:t>
      </w:r>
      <w:r w:rsidR="00807AAE">
        <w:t>penalty interest rate</w:t>
      </w:r>
      <w:r w:rsidR="00E47F99">
        <w:t>.</w:t>
      </w:r>
      <w:r w:rsidR="00166366">
        <w:t xml:space="preserve"> </w:t>
      </w:r>
      <w:r w:rsidR="003C6EE8">
        <w:t>The C</w:t>
      </w:r>
      <w:r w:rsidR="00E47F99">
        <w:t>hief Financial Officer (C</w:t>
      </w:r>
      <w:r w:rsidR="003C6EE8">
        <w:t>FO</w:t>
      </w:r>
      <w:r w:rsidR="00E47F99">
        <w:t>) or General Manager Operation Infrastructure (</w:t>
      </w:r>
      <w:r w:rsidR="003C6EE8">
        <w:t>GMOI</w:t>
      </w:r>
      <w:r w:rsidR="00E47F99">
        <w:t>)</w:t>
      </w:r>
      <w:r w:rsidR="003C6EE8">
        <w:t xml:space="preserve"> </w:t>
      </w:r>
      <w:r w:rsidR="00AB37C2">
        <w:t>ha</w:t>
      </w:r>
      <w:r w:rsidR="00E47F99">
        <w:t>s</w:t>
      </w:r>
      <w:r w:rsidR="0010257F">
        <w:t xml:space="preserve"> the discretion to determine </w:t>
      </w:r>
      <w:r w:rsidR="00E47F99">
        <w:t xml:space="preserve">whether </w:t>
      </w:r>
      <w:r w:rsidR="00166366">
        <w:t>this is app</w:t>
      </w:r>
      <w:r w:rsidR="00274B52">
        <w:t>ropriate</w:t>
      </w:r>
      <w:r w:rsidR="00166366">
        <w:t>.</w:t>
      </w:r>
    </w:p>
    <w:p w14:paraId="672F58EE" w14:textId="7A985D57" w:rsidR="00723E54" w:rsidRDefault="00723E54" w:rsidP="003857F0">
      <w:pPr>
        <w:pStyle w:val="ListParagraph"/>
        <w:numPr>
          <w:ilvl w:val="0"/>
          <w:numId w:val="16"/>
        </w:numPr>
        <w:spacing w:line="240" w:lineRule="auto"/>
        <w:contextualSpacing w:val="0"/>
      </w:pPr>
      <w:r>
        <w:t xml:space="preserve">Any default in the payment plan may </w:t>
      </w:r>
      <w:r w:rsidR="00EB05BD">
        <w:t xml:space="preserve">result in termination of </w:t>
      </w:r>
      <w:r>
        <w:t>the arrangement and the commencement of collection activities</w:t>
      </w:r>
      <w:r w:rsidR="00F67CA0">
        <w:t>,</w:t>
      </w:r>
      <w:r>
        <w:t xml:space="preserve"> which may incur </w:t>
      </w:r>
      <w:r w:rsidR="00F67CA0">
        <w:t xml:space="preserve">additional </w:t>
      </w:r>
      <w:r>
        <w:t>inter</w:t>
      </w:r>
      <w:r w:rsidR="00F67CA0">
        <w:t>e</w:t>
      </w:r>
      <w:r>
        <w:t>st and costs</w:t>
      </w:r>
      <w:r w:rsidR="00F67CA0">
        <w:t>.</w:t>
      </w:r>
    </w:p>
    <w:p w14:paraId="1E7385BE" w14:textId="105EF791" w:rsidR="00723E54" w:rsidRDefault="00B04E1F" w:rsidP="003857F0">
      <w:pPr>
        <w:pStyle w:val="ListParagraph"/>
        <w:numPr>
          <w:ilvl w:val="0"/>
          <w:numId w:val="16"/>
        </w:numPr>
        <w:spacing w:line="240" w:lineRule="auto"/>
        <w:contextualSpacing w:val="0"/>
      </w:pPr>
      <w:r>
        <w:t>The a</w:t>
      </w:r>
      <w:r w:rsidR="00723E54">
        <w:t>dministration of payment plan</w:t>
      </w:r>
      <w:r>
        <w:t xml:space="preserve"> applications</w:t>
      </w:r>
      <w:r w:rsidR="00723E54">
        <w:t xml:space="preserve"> shall be the responsibility of the Coordinator Revenue and Valuations.</w:t>
      </w:r>
    </w:p>
    <w:p w14:paraId="6B6BAE0F" w14:textId="7015F344" w:rsidR="00212857" w:rsidRDefault="003A76F6" w:rsidP="00212857">
      <w:pPr>
        <w:pStyle w:val="Heading3"/>
        <w:ind w:left="1276" w:hanging="850"/>
      </w:pPr>
      <w:bookmarkStart w:id="7" w:name="_Toc207112790"/>
      <w:r>
        <w:t>Payment Plan Delegations:</w:t>
      </w:r>
      <w:bookmarkEnd w:id="7"/>
    </w:p>
    <w:tbl>
      <w:tblPr>
        <w:tblStyle w:val="TableGrid"/>
        <w:tblpPr w:leftFromText="180" w:rightFromText="180" w:vertAnchor="text" w:horzAnchor="margin" w:tblpX="421" w:tblpY="188"/>
        <w:tblW w:w="0" w:type="auto"/>
        <w:tblLook w:val="04A0" w:firstRow="1" w:lastRow="0" w:firstColumn="1" w:lastColumn="0" w:noHBand="0" w:noVBand="1"/>
      </w:tblPr>
      <w:tblGrid>
        <w:gridCol w:w="6516"/>
        <w:gridCol w:w="2693"/>
      </w:tblGrid>
      <w:tr w:rsidR="00A660A7" w:rsidRPr="009D621A" w14:paraId="42041464" w14:textId="77777777" w:rsidTr="009E40AF">
        <w:tc>
          <w:tcPr>
            <w:tcW w:w="6516" w:type="dxa"/>
            <w:shd w:val="clear" w:color="auto" w:fill="70AD47" w:themeFill="accent6"/>
          </w:tcPr>
          <w:p w14:paraId="02146807" w14:textId="77777777" w:rsidR="00A660A7" w:rsidRPr="00C02688" w:rsidRDefault="00A660A7" w:rsidP="009E40AF">
            <w:pPr>
              <w:pStyle w:val="Tableheading"/>
              <w:spacing w:before="40" w:after="40"/>
              <w:rPr>
                <w:szCs w:val="22"/>
              </w:rPr>
            </w:pPr>
            <w:r w:rsidRPr="00C02688">
              <w:rPr>
                <w:szCs w:val="22"/>
              </w:rPr>
              <w:t>Authoriser</w:t>
            </w:r>
          </w:p>
        </w:tc>
        <w:tc>
          <w:tcPr>
            <w:tcW w:w="2693" w:type="dxa"/>
            <w:shd w:val="clear" w:color="auto" w:fill="70AD47" w:themeFill="accent6"/>
          </w:tcPr>
          <w:p w14:paraId="63E7786F" w14:textId="77777777" w:rsidR="00A660A7" w:rsidRPr="00C02688" w:rsidRDefault="00A660A7" w:rsidP="009E40AF">
            <w:pPr>
              <w:pStyle w:val="Tableheading"/>
              <w:spacing w:before="40" w:after="40"/>
              <w:jc w:val="center"/>
              <w:rPr>
                <w:szCs w:val="22"/>
              </w:rPr>
            </w:pPr>
            <w:r w:rsidRPr="00C02688">
              <w:rPr>
                <w:szCs w:val="22"/>
              </w:rPr>
              <w:t>Amount</w:t>
            </w:r>
          </w:p>
        </w:tc>
      </w:tr>
      <w:tr w:rsidR="00A660A7" w:rsidRPr="009D621A" w14:paraId="2EF65D77" w14:textId="77777777" w:rsidTr="009E40AF">
        <w:tc>
          <w:tcPr>
            <w:tcW w:w="6516" w:type="dxa"/>
          </w:tcPr>
          <w:p w14:paraId="318F178C" w14:textId="4A444EF0" w:rsidR="00A660A7" w:rsidRPr="00B80774" w:rsidRDefault="00664EB5" w:rsidP="009E40AF">
            <w:pPr>
              <w:spacing w:before="120"/>
            </w:pPr>
            <w:r>
              <w:t>Team Leader Rates</w:t>
            </w:r>
          </w:p>
        </w:tc>
        <w:tc>
          <w:tcPr>
            <w:tcW w:w="2693" w:type="dxa"/>
          </w:tcPr>
          <w:p w14:paraId="598719D1" w14:textId="4FF1BDD4" w:rsidR="00A660A7" w:rsidRPr="009D621A" w:rsidRDefault="00664EB5" w:rsidP="009E40AF">
            <w:pPr>
              <w:spacing w:before="120"/>
              <w:jc w:val="center"/>
            </w:pPr>
            <w:r>
              <w:t>$</w:t>
            </w:r>
            <w:r w:rsidR="00ED6D63">
              <w:t>10</w:t>
            </w:r>
            <w:r w:rsidR="00304C7F">
              <w:t>,000</w:t>
            </w:r>
          </w:p>
        </w:tc>
      </w:tr>
      <w:tr w:rsidR="00664EB5" w:rsidRPr="009D621A" w14:paraId="47CFB2FB" w14:textId="77777777" w:rsidTr="009E40AF">
        <w:tc>
          <w:tcPr>
            <w:tcW w:w="6516" w:type="dxa"/>
          </w:tcPr>
          <w:p w14:paraId="1805A33B" w14:textId="591968D1" w:rsidR="00664EB5" w:rsidRPr="00B80774" w:rsidRDefault="00664EB5" w:rsidP="00664EB5">
            <w:pPr>
              <w:spacing w:before="120"/>
            </w:pPr>
            <w:r w:rsidRPr="00B80774">
              <w:t>Coordinator Revenue &amp; Valuations</w:t>
            </w:r>
            <w:r w:rsidRPr="00B80774">
              <w:rPr>
                <w:bCs/>
              </w:rPr>
              <w:t xml:space="preserve"> </w:t>
            </w:r>
          </w:p>
        </w:tc>
        <w:tc>
          <w:tcPr>
            <w:tcW w:w="2693" w:type="dxa"/>
          </w:tcPr>
          <w:p w14:paraId="2B53C595" w14:textId="6895A1C9" w:rsidR="00664EB5" w:rsidRPr="00B80774" w:rsidRDefault="00664EB5" w:rsidP="00664EB5">
            <w:pPr>
              <w:spacing w:before="120"/>
              <w:jc w:val="center"/>
              <w:rPr>
                <w:rFonts w:eastAsia="Arial"/>
                <w:bCs/>
              </w:rPr>
            </w:pPr>
            <w:r w:rsidRPr="00B80774">
              <w:rPr>
                <w:rFonts w:eastAsia="Arial"/>
                <w:bCs/>
              </w:rPr>
              <w:t>$</w:t>
            </w:r>
            <w:r w:rsidR="00ED6D63">
              <w:rPr>
                <w:rFonts w:eastAsia="Arial"/>
                <w:bCs/>
              </w:rPr>
              <w:t>25</w:t>
            </w:r>
            <w:r w:rsidRPr="00B80774">
              <w:rPr>
                <w:rFonts w:eastAsia="Arial"/>
                <w:bCs/>
              </w:rPr>
              <w:t>,000</w:t>
            </w:r>
          </w:p>
        </w:tc>
      </w:tr>
      <w:tr w:rsidR="00664EB5" w:rsidRPr="009D621A" w14:paraId="244D9D17" w14:textId="77777777" w:rsidTr="009E40AF">
        <w:tc>
          <w:tcPr>
            <w:tcW w:w="6516" w:type="dxa"/>
          </w:tcPr>
          <w:p w14:paraId="3C6C5F58" w14:textId="77777777" w:rsidR="00664EB5" w:rsidRPr="00B80774" w:rsidRDefault="00664EB5" w:rsidP="00664EB5">
            <w:pPr>
              <w:spacing w:before="120"/>
            </w:pPr>
            <w:r w:rsidRPr="00B80774">
              <w:t>Chief Financial Officer</w:t>
            </w:r>
            <w:r w:rsidRPr="00B80774">
              <w:rPr>
                <w:bCs/>
              </w:rPr>
              <w:t xml:space="preserve">  </w:t>
            </w:r>
          </w:p>
        </w:tc>
        <w:tc>
          <w:tcPr>
            <w:tcW w:w="2693" w:type="dxa"/>
          </w:tcPr>
          <w:p w14:paraId="249286E4" w14:textId="7207D4D5" w:rsidR="00664EB5" w:rsidRPr="009D621A" w:rsidRDefault="00664EB5" w:rsidP="00664EB5">
            <w:pPr>
              <w:spacing w:before="120"/>
              <w:jc w:val="center"/>
            </w:pPr>
            <w:r w:rsidRPr="00B80774">
              <w:rPr>
                <w:rFonts w:eastAsia="Arial"/>
                <w:bCs/>
              </w:rPr>
              <w:t>$</w:t>
            </w:r>
            <w:r>
              <w:rPr>
                <w:rFonts w:eastAsia="Arial"/>
                <w:bCs/>
              </w:rPr>
              <w:t>30</w:t>
            </w:r>
            <w:r w:rsidRPr="00B80774">
              <w:rPr>
                <w:rFonts w:eastAsia="Arial"/>
                <w:bCs/>
              </w:rPr>
              <w:t>0,000</w:t>
            </w:r>
          </w:p>
        </w:tc>
      </w:tr>
      <w:tr w:rsidR="00664EB5" w:rsidRPr="009D621A" w14:paraId="505E168B" w14:textId="77777777" w:rsidTr="009E40AF">
        <w:tc>
          <w:tcPr>
            <w:tcW w:w="6516" w:type="dxa"/>
          </w:tcPr>
          <w:p w14:paraId="5090410A" w14:textId="0E5BB70B" w:rsidR="00664EB5" w:rsidRPr="009D621A" w:rsidRDefault="00664EB5" w:rsidP="00664EB5">
            <w:pPr>
              <w:spacing w:before="120"/>
            </w:pPr>
            <w:r w:rsidRPr="00B80774">
              <w:rPr>
                <w:rFonts w:eastAsia="Arial"/>
                <w:bCs/>
              </w:rPr>
              <w:t>General Manager Operations &amp; Infrastructure</w:t>
            </w:r>
          </w:p>
        </w:tc>
        <w:tc>
          <w:tcPr>
            <w:tcW w:w="2693" w:type="dxa"/>
          </w:tcPr>
          <w:p w14:paraId="491BF3A0" w14:textId="0BCD74A5" w:rsidR="00664EB5" w:rsidRPr="009D621A" w:rsidRDefault="00664EB5" w:rsidP="00664EB5">
            <w:pPr>
              <w:spacing w:before="120"/>
              <w:jc w:val="center"/>
            </w:pPr>
            <w:r w:rsidRPr="00B80774">
              <w:rPr>
                <w:rFonts w:eastAsia="Arial"/>
                <w:bCs/>
              </w:rPr>
              <w:t>$</w:t>
            </w:r>
            <w:r>
              <w:rPr>
                <w:rFonts w:eastAsia="Arial"/>
                <w:bCs/>
              </w:rPr>
              <w:t>5</w:t>
            </w:r>
            <w:r w:rsidRPr="00B80774">
              <w:rPr>
                <w:rFonts w:eastAsia="Arial"/>
                <w:bCs/>
              </w:rPr>
              <w:t>00,000</w:t>
            </w:r>
          </w:p>
        </w:tc>
      </w:tr>
      <w:tr w:rsidR="00664EB5" w:rsidRPr="009D621A" w14:paraId="78133E75" w14:textId="77777777" w:rsidTr="009E40AF">
        <w:tc>
          <w:tcPr>
            <w:tcW w:w="6516" w:type="dxa"/>
          </w:tcPr>
          <w:p w14:paraId="4493AF08" w14:textId="77777777" w:rsidR="00664EB5" w:rsidRPr="00B80774" w:rsidRDefault="00664EB5" w:rsidP="00664EB5">
            <w:pPr>
              <w:pStyle w:val="BodyText"/>
              <w:rPr>
                <w:sz w:val="22"/>
                <w:szCs w:val="22"/>
              </w:rPr>
            </w:pPr>
            <w:r w:rsidRPr="00B80774">
              <w:rPr>
                <w:bCs/>
                <w:sz w:val="22"/>
                <w:szCs w:val="22"/>
                <w:lang w:val="en-AU"/>
              </w:rPr>
              <w:t>Chief Executive Officer (as recommended by the Chief Financial Officer)</w:t>
            </w:r>
          </w:p>
        </w:tc>
        <w:tc>
          <w:tcPr>
            <w:tcW w:w="2693" w:type="dxa"/>
          </w:tcPr>
          <w:p w14:paraId="70AEAC41" w14:textId="77777777" w:rsidR="00664EB5" w:rsidRPr="009D621A" w:rsidRDefault="00664EB5" w:rsidP="00664EB5">
            <w:pPr>
              <w:spacing w:before="120"/>
              <w:jc w:val="center"/>
            </w:pPr>
            <w:r w:rsidRPr="00B80774">
              <w:rPr>
                <w:rFonts w:eastAsia="Arial"/>
                <w:bCs/>
              </w:rPr>
              <w:t>Above $</w:t>
            </w:r>
            <w:r>
              <w:rPr>
                <w:rFonts w:eastAsia="Arial"/>
                <w:bCs/>
              </w:rPr>
              <w:t>5</w:t>
            </w:r>
            <w:r w:rsidRPr="00B80774">
              <w:rPr>
                <w:rFonts w:eastAsia="Arial"/>
                <w:bCs/>
              </w:rPr>
              <w:t>00,000</w:t>
            </w:r>
          </w:p>
        </w:tc>
      </w:tr>
    </w:tbl>
    <w:p w14:paraId="1B763316" w14:textId="77777777" w:rsidR="00212857" w:rsidRDefault="00212857" w:rsidP="00212857">
      <w:pPr>
        <w:spacing w:line="240" w:lineRule="auto"/>
        <w:ind w:left="360"/>
      </w:pPr>
    </w:p>
    <w:p w14:paraId="17FECF5D" w14:textId="45A1760C" w:rsidR="006733DE" w:rsidRPr="00C17515" w:rsidRDefault="00922901" w:rsidP="006733DE">
      <w:pPr>
        <w:pStyle w:val="Heading2"/>
        <w:rPr>
          <w:color w:val="1F4E79" w:themeColor="accent5" w:themeShade="80"/>
        </w:rPr>
      </w:pPr>
      <w:bookmarkStart w:id="8" w:name="_Toc207112791"/>
      <w:r w:rsidRPr="00C17515">
        <w:rPr>
          <w:color w:val="1F4E79" w:themeColor="accent5" w:themeShade="80"/>
        </w:rPr>
        <w:lastRenderedPageBreak/>
        <w:t>Deferred Payments (Deferment)</w:t>
      </w:r>
      <w:bookmarkEnd w:id="8"/>
    </w:p>
    <w:p w14:paraId="7FE4E2F9" w14:textId="603B283A" w:rsidR="00AA2054" w:rsidRPr="00AF566C" w:rsidRDefault="00AA2054" w:rsidP="00AA2054">
      <w:pPr>
        <w:jc w:val="both"/>
      </w:pPr>
      <w:r w:rsidRPr="00AA2054">
        <w:t xml:space="preserve">An eligible ratepayer who owns a property </w:t>
      </w:r>
      <w:r w:rsidR="003C060F">
        <w:t>withi</w:t>
      </w:r>
      <w:r w:rsidRPr="00AA2054">
        <w:t>n the City of Port Phillip</w:t>
      </w:r>
      <w:r w:rsidR="003C060F">
        <w:t xml:space="preserve">, and for whom the property is their sole or </w:t>
      </w:r>
      <w:r w:rsidRPr="00AA2054">
        <w:t xml:space="preserve">principal place of residence, </w:t>
      </w:r>
      <w:r w:rsidR="003C060F">
        <w:t xml:space="preserve">may </w:t>
      </w:r>
      <w:r w:rsidRPr="00AA2054">
        <w:t>request a deferral of rates and charges as follow</w:t>
      </w:r>
      <w:r w:rsidR="003F1D84">
        <w:t>ing conditions</w:t>
      </w:r>
      <w:r w:rsidRPr="00AA2054">
        <w:t>:</w:t>
      </w:r>
    </w:p>
    <w:p w14:paraId="19266394" w14:textId="30853018" w:rsidR="003C2C39" w:rsidRDefault="00715D91" w:rsidP="003119FC">
      <w:pPr>
        <w:pStyle w:val="Heading3"/>
        <w:ind w:left="1276" w:hanging="850"/>
      </w:pPr>
      <w:bookmarkStart w:id="9" w:name="_Toc207112792"/>
      <w:r>
        <w:t>Eligible Pensioners/ Self-funded retirees</w:t>
      </w:r>
      <w:bookmarkEnd w:id="9"/>
    </w:p>
    <w:tbl>
      <w:tblPr>
        <w:tblStyle w:val="TableGrid"/>
        <w:tblW w:w="9213" w:type="dxa"/>
        <w:tblInd w:w="421" w:type="dxa"/>
        <w:tblLook w:val="04A0" w:firstRow="1" w:lastRow="0" w:firstColumn="1" w:lastColumn="0" w:noHBand="0" w:noVBand="1"/>
      </w:tblPr>
      <w:tblGrid>
        <w:gridCol w:w="2835"/>
        <w:gridCol w:w="2976"/>
        <w:gridCol w:w="3402"/>
      </w:tblGrid>
      <w:tr w:rsidR="00FD61F8" w14:paraId="59B1ED35" w14:textId="77777777" w:rsidTr="00B47C3E">
        <w:tc>
          <w:tcPr>
            <w:tcW w:w="2835" w:type="dxa"/>
            <w:shd w:val="clear" w:color="auto" w:fill="DEEAF6" w:themeFill="accent5" w:themeFillTint="33"/>
            <w:vAlign w:val="bottom"/>
          </w:tcPr>
          <w:p w14:paraId="57FAAFF0" w14:textId="77777777" w:rsidR="00FD61F8" w:rsidRDefault="00FD61F8" w:rsidP="001D51DF">
            <w:pPr>
              <w:pStyle w:val="BodyText"/>
              <w:rPr>
                <w:b/>
              </w:rPr>
            </w:pPr>
            <w:r>
              <w:rPr>
                <w:b/>
              </w:rPr>
              <w:t>Category</w:t>
            </w:r>
          </w:p>
        </w:tc>
        <w:tc>
          <w:tcPr>
            <w:tcW w:w="2976" w:type="dxa"/>
            <w:shd w:val="clear" w:color="auto" w:fill="DEEAF6" w:themeFill="accent5" w:themeFillTint="33"/>
            <w:vAlign w:val="bottom"/>
          </w:tcPr>
          <w:p w14:paraId="473C5F75" w14:textId="77777777" w:rsidR="00FD61F8" w:rsidRDefault="00FD61F8" w:rsidP="001D51DF">
            <w:pPr>
              <w:pStyle w:val="BodyText"/>
              <w:rPr>
                <w:b/>
              </w:rPr>
            </w:pPr>
            <w:r>
              <w:rPr>
                <w:b/>
              </w:rPr>
              <w:t>Deferral period</w:t>
            </w:r>
          </w:p>
        </w:tc>
        <w:tc>
          <w:tcPr>
            <w:tcW w:w="3402" w:type="dxa"/>
            <w:shd w:val="clear" w:color="auto" w:fill="DEEAF6" w:themeFill="accent5" w:themeFillTint="33"/>
            <w:vAlign w:val="bottom"/>
          </w:tcPr>
          <w:p w14:paraId="7226E87D" w14:textId="77777777" w:rsidR="00FD61F8" w:rsidRDefault="00FD61F8" w:rsidP="001D51DF">
            <w:pPr>
              <w:pStyle w:val="BodyText"/>
              <w:rPr>
                <w:b/>
              </w:rPr>
            </w:pPr>
            <w:r>
              <w:rPr>
                <w:b/>
              </w:rPr>
              <w:t>Interest</w:t>
            </w:r>
          </w:p>
        </w:tc>
      </w:tr>
      <w:tr w:rsidR="00731D4C" w:rsidRPr="00B57AE3" w14:paraId="309AC741" w14:textId="77777777" w:rsidTr="00B47C3E">
        <w:tc>
          <w:tcPr>
            <w:tcW w:w="2835" w:type="dxa"/>
            <w:shd w:val="clear" w:color="auto" w:fill="FFFFFF" w:themeFill="background1"/>
          </w:tcPr>
          <w:p w14:paraId="157E9FB2" w14:textId="7B462093" w:rsidR="00731D4C" w:rsidRPr="001D51DF" w:rsidRDefault="00731D4C" w:rsidP="00D46368">
            <w:pPr>
              <w:pStyle w:val="BodyText"/>
              <w:rPr>
                <w:sz w:val="20"/>
                <w:szCs w:val="20"/>
              </w:rPr>
            </w:pPr>
            <w:r w:rsidRPr="001D51DF">
              <w:rPr>
                <w:sz w:val="20"/>
                <w:szCs w:val="20"/>
              </w:rPr>
              <w:t>Age Pension recipients / Senior Card holders</w:t>
            </w:r>
          </w:p>
        </w:tc>
        <w:tc>
          <w:tcPr>
            <w:tcW w:w="2976" w:type="dxa"/>
            <w:shd w:val="clear" w:color="auto" w:fill="FFFFFF" w:themeFill="background1"/>
          </w:tcPr>
          <w:p w14:paraId="35C127DC" w14:textId="77777777" w:rsidR="00731D4C" w:rsidRPr="001D51DF" w:rsidRDefault="00731D4C" w:rsidP="00D46368">
            <w:pPr>
              <w:pStyle w:val="BodyText"/>
              <w:rPr>
                <w:sz w:val="20"/>
                <w:szCs w:val="20"/>
              </w:rPr>
            </w:pPr>
            <w:r w:rsidRPr="001D51DF">
              <w:rPr>
                <w:sz w:val="20"/>
                <w:szCs w:val="20"/>
              </w:rPr>
              <w:t>Deferred Indefinitely - until property is sold / estate settled</w:t>
            </w:r>
          </w:p>
        </w:tc>
        <w:tc>
          <w:tcPr>
            <w:tcW w:w="3402" w:type="dxa"/>
            <w:shd w:val="clear" w:color="auto" w:fill="FFFFFF" w:themeFill="background1"/>
          </w:tcPr>
          <w:p w14:paraId="4E23059A" w14:textId="1B880DFD" w:rsidR="00731D4C" w:rsidRPr="001D51DF" w:rsidRDefault="007F12F2" w:rsidP="00D46368">
            <w:pPr>
              <w:pStyle w:val="BodyText"/>
              <w:rPr>
                <w:sz w:val="20"/>
                <w:szCs w:val="20"/>
              </w:rPr>
            </w:pPr>
            <w:r w:rsidRPr="001D51DF">
              <w:rPr>
                <w:sz w:val="20"/>
                <w:szCs w:val="20"/>
              </w:rPr>
              <w:t>Interest</w:t>
            </w:r>
            <w:r>
              <w:rPr>
                <w:sz w:val="20"/>
                <w:szCs w:val="20"/>
              </w:rPr>
              <w:t xml:space="preserve"> </w:t>
            </w:r>
            <w:r w:rsidRPr="001D51DF">
              <w:rPr>
                <w:sz w:val="20"/>
                <w:szCs w:val="20"/>
              </w:rPr>
              <w:t xml:space="preserve">at 50% of the rate set by the </w:t>
            </w:r>
            <w:r w:rsidRPr="001D51DF">
              <w:rPr>
                <w:i/>
                <w:iCs/>
                <w:sz w:val="20"/>
                <w:szCs w:val="20"/>
              </w:rPr>
              <w:t>Penalty Interest Rates Act 1983 - Section 2</w:t>
            </w:r>
            <w:r w:rsidRPr="001D51DF">
              <w:rPr>
                <w:sz w:val="20"/>
                <w:szCs w:val="20"/>
              </w:rPr>
              <w:t>, will accrue annually on the deferred rates</w:t>
            </w:r>
            <w:r>
              <w:rPr>
                <w:sz w:val="20"/>
                <w:szCs w:val="20"/>
              </w:rPr>
              <w:t xml:space="preserve"> and </w:t>
            </w:r>
            <w:r w:rsidRPr="001D51DF">
              <w:rPr>
                <w:sz w:val="20"/>
                <w:szCs w:val="20"/>
              </w:rPr>
              <w:t>charges until the account is paid in full.</w:t>
            </w:r>
          </w:p>
        </w:tc>
      </w:tr>
    </w:tbl>
    <w:p w14:paraId="3C23A852" w14:textId="25A7F460" w:rsidR="00BE449A" w:rsidRDefault="00BE449A" w:rsidP="003119FC">
      <w:pPr>
        <w:pStyle w:val="Heading3"/>
        <w:ind w:left="1276" w:hanging="850"/>
      </w:pPr>
      <w:bookmarkStart w:id="10" w:name="_Toc207112793"/>
      <w:r>
        <w:t>Eligible Concession Card Holders</w:t>
      </w:r>
      <w:bookmarkEnd w:id="10"/>
    </w:p>
    <w:tbl>
      <w:tblPr>
        <w:tblStyle w:val="TableGrid"/>
        <w:tblW w:w="9213" w:type="dxa"/>
        <w:tblInd w:w="421" w:type="dxa"/>
        <w:tblLook w:val="04A0" w:firstRow="1" w:lastRow="0" w:firstColumn="1" w:lastColumn="0" w:noHBand="0" w:noVBand="1"/>
      </w:tblPr>
      <w:tblGrid>
        <w:gridCol w:w="2835"/>
        <w:gridCol w:w="2976"/>
        <w:gridCol w:w="3402"/>
      </w:tblGrid>
      <w:tr w:rsidR="00BE449A" w14:paraId="626B46FF" w14:textId="77777777" w:rsidTr="00B47C3E">
        <w:tc>
          <w:tcPr>
            <w:tcW w:w="2835" w:type="dxa"/>
            <w:shd w:val="clear" w:color="auto" w:fill="DEEAF6" w:themeFill="accent5" w:themeFillTint="33"/>
          </w:tcPr>
          <w:p w14:paraId="3EFD1766" w14:textId="77777777" w:rsidR="00BE449A" w:rsidRDefault="00BE449A" w:rsidP="00D46368">
            <w:pPr>
              <w:pStyle w:val="BodyText"/>
              <w:rPr>
                <w:b/>
              </w:rPr>
            </w:pPr>
            <w:r>
              <w:rPr>
                <w:b/>
              </w:rPr>
              <w:t>Category</w:t>
            </w:r>
          </w:p>
        </w:tc>
        <w:tc>
          <w:tcPr>
            <w:tcW w:w="2976" w:type="dxa"/>
            <w:shd w:val="clear" w:color="auto" w:fill="DEEAF6" w:themeFill="accent5" w:themeFillTint="33"/>
          </w:tcPr>
          <w:p w14:paraId="0E777415" w14:textId="77777777" w:rsidR="00BE449A" w:rsidRDefault="00BE449A" w:rsidP="00D46368">
            <w:pPr>
              <w:pStyle w:val="BodyText"/>
              <w:rPr>
                <w:b/>
              </w:rPr>
            </w:pPr>
            <w:r>
              <w:rPr>
                <w:b/>
              </w:rPr>
              <w:t>Deferral period</w:t>
            </w:r>
          </w:p>
        </w:tc>
        <w:tc>
          <w:tcPr>
            <w:tcW w:w="3402" w:type="dxa"/>
            <w:shd w:val="clear" w:color="auto" w:fill="DEEAF6" w:themeFill="accent5" w:themeFillTint="33"/>
          </w:tcPr>
          <w:p w14:paraId="17ACFCCF" w14:textId="77777777" w:rsidR="00BE449A" w:rsidRDefault="00BE449A" w:rsidP="00D46368">
            <w:pPr>
              <w:pStyle w:val="BodyText"/>
              <w:rPr>
                <w:b/>
              </w:rPr>
            </w:pPr>
            <w:r>
              <w:rPr>
                <w:b/>
              </w:rPr>
              <w:t>Interest</w:t>
            </w:r>
          </w:p>
        </w:tc>
      </w:tr>
      <w:tr w:rsidR="006B0CBC" w:rsidRPr="00B57AE3" w14:paraId="14230F61" w14:textId="77777777" w:rsidTr="00B47C3E">
        <w:tc>
          <w:tcPr>
            <w:tcW w:w="2835" w:type="dxa"/>
            <w:shd w:val="clear" w:color="auto" w:fill="FFFFFF" w:themeFill="background1"/>
          </w:tcPr>
          <w:p w14:paraId="2B020EFD" w14:textId="77777777" w:rsidR="006B0CBC" w:rsidRPr="001D51DF" w:rsidRDefault="006B0CBC" w:rsidP="003857F0">
            <w:pPr>
              <w:pStyle w:val="BodyText"/>
              <w:numPr>
                <w:ilvl w:val="0"/>
                <w:numId w:val="6"/>
              </w:numPr>
              <w:ind w:left="360"/>
              <w:rPr>
                <w:sz w:val="20"/>
                <w:szCs w:val="20"/>
              </w:rPr>
            </w:pPr>
            <w:r w:rsidRPr="001D51DF">
              <w:rPr>
                <w:sz w:val="20"/>
                <w:szCs w:val="20"/>
              </w:rPr>
              <w:t>Pensioner Concession Card - issued by Centrelink or Department of Veterans’ Affairs</w:t>
            </w:r>
          </w:p>
          <w:p w14:paraId="3DA82D24" w14:textId="77777777" w:rsidR="006B0CBC" w:rsidRPr="001D51DF" w:rsidRDefault="006B0CBC" w:rsidP="003857F0">
            <w:pPr>
              <w:pStyle w:val="BodyText"/>
              <w:numPr>
                <w:ilvl w:val="0"/>
                <w:numId w:val="6"/>
              </w:numPr>
              <w:ind w:left="360"/>
              <w:rPr>
                <w:sz w:val="20"/>
                <w:szCs w:val="20"/>
              </w:rPr>
            </w:pPr>
            <w:r w:rsidRPr="001D51DF">
              <w:rPr>
                <w:sz w:val="20"/>
                <w:szCs w:val="20"/>
              </w:rPr>
              <w:t>Department of Veterans’ Affairs Gold Card - War Widow (WW)</w:t>
            </w:r>
          </w:p>
          <w:p w14:paraId="488F8E83" w14:textId="4C3D390D" w:rsidR="006B0CBC" w:rsidRPr="001D51DF" w:rsidRDefault="006B0CBC" w:rsidP="003857F0">
            <w:pPr>
              <w:pStyle w:val="BodyText"/>
              <w:numPr>
                <w:ilvl w:val="0"/>
                <w:numId w:val="6"/>
              </w:numPr>
              <w:ind w:left="360"/>
              <w:rPr>
                <w:sz w:val="20"/>
                <w:szCs w:val="20"/>
              </w:rPr>
            </w:pPr>
            <w:r w:rsidRPr="001D51DF">
              <w:rPr>
                <w:sz w:val="20"/>
                <w:szCs w:val="20"/>
              </w:rPr>
              <w:t>Department of Veterans’ Affairs Gold Card -Totally and Permanently Incapacitated (TPI)</w:t>
            </w:r>
          </w:p>
        </w:tc>
        <w:tc>
          <w:tcPr>
            <w:tcW w:w="2976" w:type="dxa"/>
            <w:shd w:val="clear" w:color="auto" w:fill="FFFFFF" w:themeFill="background1"/>
          </w:tcPr>
          <w:p w14:paraId="37224C4C" w14:textId="77777777" w:rsidR="006B0CBC" w:rsidRPr="001D51DF" w:rsidRDefault="006B0CBC" w:rsidP="006B0CBC">
            <w:pPr>
              <w:pStyle w:val="BodyText"/>
              <w:rPr>
                <w:sz w:val="20"/>
                <w:szCs w:val="20"/>
              </w:rPr>
            </w:pPr>
            <w:r w:rsidRPr="001D51DF">
              <w:rPr>
                <w:sz w:val="20"/>
                <w:szCs w:val="20"/>
              </w:rPr>
              <w:t>Deferral until 30 June of each financial year</w:t>
            </w:r>
          </w:p>
          <w:p w14:paraId="39D5CECF" w14:textId="77777777" w:rsidR="006B0CBC" w:rsidRPr="001D51DF" w:rsidRDefault="006B0CBC" w:rsidP="006B0CBC">
            <w:pPr>
              <w:pStyle w:val="BodyText"/>
              <w:rPr>
                <w:sz w:val="20"/>
                <w:szCs w:val="20"/>
              </w:rPr>
            </w:pPr>
          </w:p>
          <w:p w14:paraId="465B0451" w14:textId="36CBD0E4" w:rsidR="006B0CBC" w:rsidRPr="001D51DF" w:rsidRDefault="006B0CBC" w:rsidP="006B0CBC">
            <w:pPr>
              <w:pStyle w:val="BodyText"/>
              <w:rPr>
                <w:sz w:val="20"/>
                <w:szCs w:val="20"/>
              </w:rPr>
            </w:pPr>
            <w:r w:rsidRPr="001D51DF">
              <w:rPr>
                <w:sz w:val="20"/>
                <w:szCs w:val="20"/>
              </w:rPr>
              <w:t>(Must re</w:t>
            </w:r>
            <w:r w:rsidR="0088615F">
              <w:rPr>
                <w:sz w:val="20"/>
                <w:szCs w:val="20"/>
              </w:rPr>
              <w:t>-</w:t>
            </w:r>
            <w:r w:rsidRPr="001D51DF">
              <w:rPr>
                <w:sz w:val="20"/>
                <w:szCs w:val="20"/>
              </w:rPr>
              <w:t>apply yearly – Maximum consecutive deferral period – 2 years)</w:t>
            </w:r>
          </w:p>
        </w:tc>
        <w:tc>
          <w:tcPr>
            <w:tcW w:w="3402" w:type="dxa"/>
            <w:shd w:val="clear" w:color="auto" w:fill="FFFFFF" w:themeFill="background1"/>
          </w:tcPr>
          <w:p w14:paraId="2CC17144" w14:textId="76BD3371" w:rsidR="006B0CBC" w:rsidRPr="001D51DF" w:rsidRDefault="006B0CBC" w:rsidP="006B0CBC">
            <w:pPr>
              <w:pStyle w:val="BodyText"/>
              <w:rPr>
                <w:sz w:val="20"/>
                <w:szCs w:val="20"/>
              </w:rPr>
            </w:pPr>
            <w:r w:rsidRPr="001D51DF">
              <w:rPr>
                <w:sz w:val="20"/>
                <w:szCs w:val="20"/>
              </w:rPr>
              <w:t>Interest</w:t>
            </w:r>
            <w:r w:rsidR="00213669">
              <w:rPr>
                <w:sz w:val="20"/>
                <w:szCs w:val="20"/>
              </w:rPr>
              <w:t xml:space="preserve"> </w:t>
            </w:r>
            <w:r w:rsidR="00213669" w:rsidRPr="001D51DF">
              <w:rPr>
                <w:sz w:val="20"/>
                <w:szCs w:val="20"/>
              </w:rPr>
              <w:t xml:space="preserve">at 50% of the rate set by the </w:t>
            </w:r>
            <w:r w:rsidR="00213669" w:rsidRPr="001D51DF">
              <w:rPr>
                <w:i/>
                <w:iCs/>
                <w:sz w:val="20"/>
                <w:szCs w:val="20"/>
              </w:rPr>
              <w:t>Penalty Interest Rates Act 1983 - Section 2</w:t>
            </w:r>
            <w:r w:rsidR="00213669" w:rsidRPr="001D51DF">
              <w:rPr>
                <w:sz w:val="20"/>
                <w:szCs w:val="20"/>
              </w:rPr>
              <w:t xml:space="preserve">, </w:t>
            </w:r>
            <w:r w:rsidRPr="001D51DF">
              <w:rPr>
                <w:sz w:val="20"/>
                <w:szCs w:val="20"/>
              </w:rPr>
              <w:t>will accrue annually on the deferred rates</w:t>
            </w:r>
            <w:r w:rsidR="00802432">
              <w:rPr>
                <w:sz w:val="20"/>
                <w:szCs w:val="20"/>
              </w:rPr>
              <w:t xml:space="preserve"> and </w:t>
            </w:r>
            <w:r w:rsidRPr="001D51DF">
              <w:rPr>
                <w:sz w:val="20"/>
                <w:szCs w:val="20"/>
              </w:rPr>
              <w:t>charges</w:t>
            </w:r>
            <w:r w:rsidR="007F12F2" w:rsidRPr="001D51DF">
              <w:rPr>
                <w:sz w:val="20"/>
                <w:szCs w:val="20"/>
              </w:rPr>
              <w:t xml:space="preserve"> until the account is paid in full.</w:t>
            </w:r>
            <w:r w:rsidRPr="001D51DF">
              <w:rPr>
                <w:sz w:val="20"/>
                <w:szCs w:val="20"/>
              </w:rPr>
              <w:t xml:space="preserve"> </w:t>
            </w:r>
          </w:p>
        </w:tc>
      </w:tr>
    </w:tbl>
    <w:p w14:paraId="0DE37D1E" w14:textId="77777777" w:rsidR="009E6106" w:rsidRDefault="009E6106" w:rsidP="000A358E"/>
    <w:p w14:paraId="76608286" w14:textId="097FFB97" w:rsidR="00BE449A" w:rsidRDefault="00BE449A" w:rsidP="003119FC">
      <w:pPr>
        <w:pStyle w:val="Heading3"/>
        <w:ind w:left="1276" w:hanging="850"/>
      </w:pPr>
      <w:bookmarkStart w:id="11" w:name="_Toc207112794"/>
      <w:r>
        <w:t>Eligible Pensioners/ Self-funded retirees</w:t>
      </w:r>
      <w:bookmarkEnd w:id="11"/>
    </w:p>
    <w:tbl>
      <w:tblPr>
        <w:tblStyle w:val="TableGrid"/>
        <w:tblW w:w="9213" w:type="dxa"/>
        <w:tblInd w:w="421" w:type="dxa"/>
        <w:tblLook w:val="04A0" w:firstRow="1" w:lastRow="0" w:firstColumn="1" w:lastColumn="0" w:noHBand="0" w:noVBand="1"/>
      </w:tblPr>
      <w:tblGrid>
        <w:gridCol w:w="2835"/>
        <w:gridCol w:w="2976"/>
        <w:gridCol w:w="3402"/>
      </w:tblGrid>
      <w:tr w:rsidR="00BE449A" w14:paraId="60EA7F11" w14:textId="77777777" w:rsidTr="00B47C3E">
        <w:tc>
          <w:tcPr>
            <w:tcW w:w="2835" w:type="dxa"/>
            <w:shd w:val="clear" w:color="auto" w:fill="DEEAF6" w:themeFill="accent5" w:themeFillTint="33"/>
          </w:tcPr>
          <w:p w14:paraId="6F7C393A" w14:textId="77777777" w:rsidR="00BE449A" w:rsidRDefault="00BE449A" w:rsidP="00D46368">
            <w:pPr>
              <w:pStyle w:val="BodyText"/>
              <w:rPr>
                <w:b/>
              </w:rPr>
            </w:pPr>
            <w:r>
              <w:rPr>
                <w:b/>
              </w:rPr>
              <w:t>Category</w:t>
            </w:r>
          </w:p>
        </w:tc>
        <w:tc>
          <w:tcPr>
            <w:tcW w:w="2976" w:type="dxa"/>
            <w:shd w:val="clear" w:color="auto" w:fill="DEEAF6" w:themeFill="accent5" w:themeFillTint="33"/>
          </w:tcPr>
          <w:p w14:paraId="0BAC4B4D" w14:textId="77777777" w:rsidR="00BE449A" w:rsidRDefault="00BE449A" w:rsidP="00D46368">
            <w:pPr>
              <w:pStyle w:val="BodyText"/>
              <w:rPr>
                <w:b/>
              </w:rPr>
            </w:pPr>
            <w:r>
              <w:rPr>
                <w:b/>
              </w:rPr>
              <w:t>Deferral period</w:t>
            </w:r>
          </w:p>
        </w:tc>
        <w:tc>
          <w:tcPr>
            <w:tcW w:w="3402" w:type="dxa"/>
            <w:shd w:val="clear" w:color="auto" w:fill="DEEAF6" w:themeFill="accent5" w:themeFillTint="33"/>
          </w:tcPr>
          <w:p w14:paraId="6BD18BBB" w14:textId="77777777" w:rsidR="00BE449A" w:rsidRDefault="00BE449A" w:rsidP="00D46368">
            <w:pPr>
              <w:pStyle w:val="BodyText"/>
              <w:rPr>
                <w:b/>
              </w:rPr>
            </w:pPr>
            <w:r>
              <w:rPr>
                <w:b/>
              </w:rPr>
              <w:t>Interest</w:t>
            </w:r>
          </w:p>
        </w:tc>
      </w:tr>
      <w:tr w:rsidR="00387587" w:rsidRPr="00B57AE3" w14:paraId="06F090CB" w14:textId="77777777" w:rsidTr="00B47C3E">
        <w:tc>
          <w:tcPr>
            <w:tcW w:w="2835" w:type="dxa"/>
            <w:shd w:val="clear" w:color="auto" w:fill="FFFFFF" w:themeFill="background1"/>
          </w:tcPr>
          <w:p w14:paraId="1F198C04" w14:textId="0EBD7347" w:rsidR="00387587" w:rsidRPr="001D51DF" w:rsidRDefault="00387587" w:rsidP="00387587">
            <w:pPr>
              <w:pStyle w:val="BodyText"/>
              <w:rPr>
                <w:sz w:val="20"/>
                <w:szCs w:val="20"/>
              </w:rPr>
            </w:pPr>
            <w:r w:rsidRPr="001D51DF">
              <w:rPr>
                <w:sz w:val="20"/>
                <w:szCs w:val="20"/>
              </w:rPr>
              <w:t>Long Term – Health Care Card</w:t>
            </w:r>
          </w:p>
        </w:tc>
        <w:tc>
          <w:tcPr>
            <w:tcW w:w="2976" w:type="dxa"/>
            <w:shd w:val="clear" w:color="auto" w:fill="FFFFFF" w:themeFill="background1"/>
          </w:tcPr>
          <w:p w14:paraId="2A412ACA" w14:textId="77777777" w:rsidR="00387587" w:rsidRPr="001D51DF" w:rsidRDefault="00387587" w:rsidP="00387587">
            <w:pPr>
              <w:pStyle w:val="BodyText"/>
              <w:rPr>
                <w:sz w:val="20"/>
                <w:szCs w:val="20"/>
              </w:rPr>
            </w:pPr>
            <w:r w:rsidRPr="001D51DF">
              <w:rPr>
                <w:sz w:val="20"/>
                <w:szCs w:val="20"/>
              </w:rPr>
              <w:t>Deferral until 30 June of each financial year</w:t>
            </w:r>
            <w:r w:rsidRPr="001D51DF" w:rsidDel="00AD1C08">
              <w:rPr>
                <w:sz w:val="20"/>
                <w:szCs w:val="20"/>
              </w:rPr>
              <w:t xml:space="preserve"> </w:t>
            </w:r>
          </w:p>
          <w:p w14:paraId="321D2AF4" w14:textId="7A7DD350" w:rsidR="00387587" w:rsidRPr="001D51DF" w:rsidRDefault="00387587" w:rsidP="00387587">
            <w:pPr>
              <w:pStyle w:val="BodyText"/>
              <w:rPr>
                <w:sz w:val="20"/>
                <w:szCs w:val="20"/>
              </w:rPr>
            </w:pPr>
            <w:r w:rsidRPr="001D51DF">
              <w:rPr>
                <w:sz w:val="20"/>
                <w:szCs w:val="20"/>
              </w:rPr>
              <w:t>(Must reapply yearly – Maximum consecutive deferral period – 2 years)</w:t>
            </w:r>
          </w:p>
        </w:tc>
        <w:tc>
          <w:tcPr>
            <w:tcW w:w="3402" w:type="dxa"/>
            <w:shd w:val="clear" w:color="auto" w:fill="FFFFFF" w:themeFill="background1"/>
          </w:tcPr>
          <w:p w14:paraId="2405A0A5" w14:textId="42B93FD1" w:rsidR="00387587" w:rsidRPr="001D51DF" w:rsidRDefault="007F12F2" w:rsidP="00387587">
            <w:pPr>
              <w:pStyle w:val="BodyText"/>
              <w:rPr>
                <w:sz w:val="20"/>
                <w:szCs w:val="20"/>
              </w:rPr>
            </w:pPr>
            <w:r w:rsidRPr="001D51DF">
              <w:rPr>
                <w:sz w:val="20"/>
                <w:szCs w:val="20"/>
              </w:rPr>
              <w:t>Interest</w:t>
            </w:r>
            <w:r>
              <w:rPr>
                <w:sz w:val="20"/>
                <w:szCs w:val="20"/>
              </w:rPr>
              <w:t xml:space="preserve"> </w:t>
            </w:r>
            <w:r w:rsidRPr="001D51DF">
              <w:rPr>
                <w:sz w:val="20"/>
                <w:szCs w:val="20"/>
              </w:rPr>
              <w:t xml:space="preserve">at 50% of the rate set by the </w:t>
            </w:r>
            <w:r w:rsidRPr="001D51DF">
              <w:rPr>
                <w:i/>
                <w:iCs/>
                <w:sz w:val="20"/>
                <w:szCs w:val="20"/>
              </w:rPr>
              <w:t>Penalty Interest Rates Act 1983 - Section 2</w:t>
            </w:r>
            <w:r w:rsidRPr="001D51DF">
              <w:rPr>
                <w:sz w:val="20"/>
                <w:szCs w:val="20"/>
              </w:rPr>
              <w:t>, will accrue annually on the deferred rates</w:t>
            </w:r>
            <w:r>
              <w:rPr>
                <w:sz w:val="20"/>
                <w:szCs w:val="20"/>
              </w:rPr>
              <w:t xml:space="preserve"> and </w:t>
            </w:r>
            <w:r w:rsidRPr="001D51DF">
              <w:rPr>
                <w:sz w:val="20"/>
                <w:szCs w:val="20"/>
              </w:rPr>
              <w:t>charges until the account is paid in full.</w:t>
            </w:r>
          </w:p>
        </w:tc>
      </w:tr>
    </w:tbl>
    <w:p w14:paraId="1A0316B1" w14:textId="77777777" w:rsidR="009E6106" w:rsidRDefault="009E6106" w:rsidP="000A358E"/>
    <w:p w14:paraId="04A3A1A1" w14:textId="6B439048" w:rsidR="00FC287D" w:rsidRDefault="00AE10B1" w:rsidP="003119FC">
      <w:pPr>
        <w:pStyle w:val="Heading3"/>
        <w:ind w:left="1276" w:hanging="850"/>
      </w:pPr>
      <w:bookmarkStart w:id="12" w:name="_Toc207112795"/>
      <w:r>
        <w:t>Withdrawing of Deferred Payments</w:t>
      </w:r>
      <w:bookmarkEnd w:id="12"/>
    </w:p>
    <w:p w14:paraId="53681227" w14:textId="0ED50603" w:rsidR="001A4E69" w:rsidRPr="001A4E69" w:rsidRDefault="001A4E69" w:rsidP="001A4E69">
      <w:pPr>
        <w:ind w:left="720" w:hanging="294"/>
        <w:rPr>
          <w:noProof/>
          <w:highlight w:val="yellow"/>
        </w:rPr>
      </w:pPr>
      <w:r>
        <w:rPr>
          <w:noProof/>
        </w:rPr>
        <w:t xml:space="preserve">An approved </w:t>
      </w:r>
      <w:r w:rsidR="00FB276A">
        <w:rPr>
          <w:noProof/>
        </w:rPr>
        <w:t>d</w:t>
      </w:r>
      <w:r>
        <w:rPr>
          <w:noProof/>
        </w:rPr>
        <w:t>efer</w:t>
      </w:r>
      <w:r w:rsidR="00FB276A">
        <w:rPr>
          <w:noProof/>
        </w:rPr>
        <w:t>red payment</w:t>
      </w:r>
      <w:r>
        <w:rPr>
          <w:noProof/>
        </w:rPr>
        <w:t xml:space="preserve"> </w:t>
      </w:r>
      <w:r w:rsidR="007F40E1">
        <w:rPr>
          <w:noProof/>
        </w:rPr>
        <w:t>may</w:t>
      </w:r>
      <w:r w:rsidR="00FB276A" w:rsidRPr="22F32D0C">
        <w:rPr>
          <w:noProof/>
        </w:rPr>
        <w:t xml:space="preserve"> be withdrawn</w:t>
      </w:r>
      <w:r w:rsidR="007F40E1">
        <w:rPr>
          <w:noProof/>
        </w:rPr>
        <w:t xml:space="preserve"> under</w:t>
      </w:r>
      <w:r w:rsidR="00FB276A" w:rsidRPr="22F32D0C">
        <w:rPr>
          <w:noProof/>
        </w:rPr>
        <w:t xml:space="preserve"> any of the following circumstances</w:t>
      </w:r>
      <w:r w:rsidR="00FB276A">
        <w:rPr>
          <w:noProof/>
        </w:rPr>
        <w:t>:</w:t>
      </w:r>
    </w:p>
    <w:p w14:paraId="2D644CE4" w14:textId="78ADF747" w:rsidR="004C5A64" w:rsidRDefault="00FB276A" w:rsidP="003857F0">
      <w:pPr>
        <w:pStyle w:val="ListParagraph"/>
        <w:numPr>
          <w:ilvl w:val="0"/>
          <w:numId w:val="7"/>
        </w:numPr>
        <w:ind w:left="927" w:hanging="501"/>
        <w:jc w:val="left"/>
        <w:rPr>
          <w:noProof/>
        </w:rPr>
      </w:pPr>
      <w:r>
        <w:rPr>
          <w:noProof/>
        </w:rPr>
        <w:t>The ratepayer’s cir</w:t>
      </w:r>
      <w:r w:rsidR="004C5A64" w:rsidRPr="22F32D0C">
        <w:rPr>
          <w:noProof/>
        </w:rPr>
        <w:t xml:space="preserve">circumstances have changed and payment of the debt would no longer cause </w:t>
      </w:r>
      <w:r w:rsidR="003C2346">
        <w:rPr>
          <w:noProof/>
        </w:rPr>
        <w:t xml:space="preserve">financial </w:t>
      </w:r>
      <w:r w:rsidR="004C5A64" w:rsidRPr="22F32D0C">
        <w:rPr>
          <w:noProof/>
        </w:rPr>
        <w:t>hardship.</w:t>
      </w:r>
    </w:p>
    <w:p w14:paraId="7BE685FD" w14:textId="77777777" w:rsidR="004C5A64" w:rsidRDefault="004C5A64" w:rsidP="003857F0">
      <w:pPr>
        <w:pStyle w:val="ListParagraph"/>
        <w:numPr>
          <w:ilvl w:val="0"/>
          <w:numId w:val="7"/>
        </w:numPr>
        <w:ind w:left="927" w:hanging="501"/>
        <w:jc w:val="left"/>
        <w:rPr>
          <w:noProof/>
        </w:rPr>
      </w:pPr>
      <w:r>
        <w:rPr>
          <w:noProof/>
        </w:rPr>
        <w:t>The ratepayer no longer owns or occupies the property.</w:t>
      </w:r>
    </w:p>
    <w:p w14:paraId="5234D974" w14:textId="579562E3" w:rsidR="006733DE" w:rsidRPr="004C5A64" w:rsidRDefault="004C5A64" w:rsidP="003857F0">
      <w:pPr>
        <w:pStyle w:val="ListParagraph"/>
        <w:numPr>
          <w:ilvl w:val="0"/>
          <w:numId w:val="7"/>
        </w:numPr>
        <w:ind w:left="927" w:hanging="501"/>
        <w:jc w:val="left"/>
        <w:rPr>
          <w:noProof/>
        </w:rPr>
      </w:pPr>
      <w:r>
        <w:rPr>
          <w:noProof/>
        </w:rPr>
        <w:t>The ratepayer has defaulted in any agreement associated with the deferral.</w:t>
      </w:r>
    </w:p>
    <w:p w14:paraId="003B6E16" w14:textId="5CE49BFF" w:rsidR="00C54B8F" w:rsidRDefault="00C54B8F" w:rsidP="00C54B8F">
      <w:pPr>
        <w:pStyle w:val="Heading3"/>
        <w:ind w:left="1276" w:hanging="850"/>
      </w:pPr>
      <w:bookmarkStart w:id="13" w:name="_Toc207112796"/>
      <w:r>
        <w:lastRenderedPageBreak/>
        <w:t>Deferred Payments</w:t>
      </w:r>
      <w:r w:rsidR="007156E5" w:rsidRPr="007156E5">
        <w:t xml:space="preserve"> </w:t>
      </w:r>
      <w:r w:rsidR="007156E5">
        <w:t>Delegation:</w:t>
      </w:r>
      <w:bookmarkEnd w:id="13"/>
    </w:p>
    <w:tbl>
      <w:tblPr>
        <w:tblStyle w:val="TableGrid"/>
        <w:tblpPr w:leftFromText="180" w:rightFromText="180" w:vertAnchor="text" w:horzAnchor="margin" w:tblpX="421" w:tblpY="188"/>
        <w:tblW w:w="0" w:type="auto"/>
        <w:tblLook w:val="04A0" w:firstRow="1" w:lastRow="0" w:firstColumn="1" w:lastColumn="0" w:noHBand="0" w:noVBand="1"/>
      </w:tblPr>
      <w:tblGrid>
        <w:gridCol w:w="6516"/>
        <w:gridCol w:w="2693"/>
      </w:tblGrid>
      <w:tr w:rsidR="00396A7C" w:rsidRPr="009D621A" w14:paraId="60DED1D0" w14:textId="77777777" w:rsidTr="00B47C3E">
        <w:tc>
          <w:tcPr>
            <w:tcW w:w="6516" w:type="dxa"/>
            <w:shd w:val="clear" w:color="auto" w:fill="70AD47" w:themeFill="accent6"/>
          </w:tcPr>
          <w:p w14:paraId="3BE373D6" w14:textId="77777777" w:rsidR="00396A7C" w:rsidRPr="00C02688" w:rsidRDefault="00396A7C" w:rsidP="000628F7">
            <w:pPr>
              <w:pStyle w:val="Tableheading"/>
              <w:spacing w:before="40" w:after="40"/>
              <w:rPr>
                <w:szCs w:val="22"/>
              </w:rPr>
            </w:pPr>
            <w:r w:rsidRPr="00C02688">
              <w:rPr>
                <w:szCs w:val="22"/>
              </w:rPr>
              <w:t>Authoriser</w:t>
            </w:r>
          </w:p>
        </w:tc>
        <w:tc>
          <w:tcPr>
            <w:tcW w:w="2693" w:type="dxa"/>
            <w:shd w:val="clear" w:color="auto" w:fill="70AD47" w:themeFill="accent6"/>
          </w:tcPr>
          <w:p w14:paraId="1FDF9EE1" w14:textId="77777777" w:rsidR="00396A7C" w:rsidRPr="00C02688" w:rsidRDefault="00396A7C" w:rsidP="000628F7">
            <w:pPr>
              <w:pStyle w:val="Tableheading"/>
              <w:spacing w:before="40" w:after="40"/>
              <w:jc w:val="center"/>
              <w:rPr>
                <w:szCs w:val="22"/>
              </w:rPr>
            </w:pPr>
            <w:r w:rsidRPr="00C02688">
              <w:rPr>
                <w:szCs w:val="22"/>
              </w:rPr>
              <w:t>Amount</w:t>
            </w:r>
          </w:p>
        </w:tc>
      </w:tr>
      <w:tr w:rsidR="00396A7C" w:rsidRPr="009D621A" w14:paraId="6CB1CB4B" w14:textId="77777777" w:rsidTr="00B47C3E">
        <w:tc>
          <w:tcPr>
            <w:tcW w:w="6516" w:type="dxa"/>
          </w:tcPr>
          <w:p w14:paraId="5F23FB9E" w14:textId="77777777" w:rsidR="00396A7C" w:rsidRPr="00B80774" w:rsidRDefault="00396A7C" w:rsidP="000628F7">
            <w:pPr>
              <w:spacing w:before="120"/>
            </w:pPr>
            <w:r w:rsidRPr="00B80774">
              <w:t>Coordinator Revenue &amp; Valuations</w:t>
            </w:r>
            <w:r w:rsidRPr="00B80774">
              <w:rPr>
                <w:bCs/>
              </w:rPr>
              <w:t xml:space="preserve"> </w:t>
            </w:r>
          </w:p>
        </w:tc>
        <w:tc>
          <w:tcPr>
            <w:tcW w:w="2693" w:type="dxa"/>
          </w:tcPr>
          <w:p w14:paraId="0278BB30" w14:textId="40F49292" w:rsidR="00396A7C" w:rsidRPr="009D621A" w:rsidRDefault="00396A7C" w:rsidP="000628F7">
            <w:pPr>
              <w:spacing w:before="120"/>
              <w:jc w:val="center"/>
            </w:pPr>
            <w:r w:rsidRPr="00B80774">
              <w:rPr>
                <w:rFonts w:eastAsia="Arial"/>
                <w:bCs/>
              </w:rPr>
              <w:t>$</w:t>
            </w:r>
            <w:r w:rsidR="00E451CA">
              <w:rPr>
                <w:rFonts w:eastAsia="Arial"/>
                <w:bCs/>
              </w:rPr>
              <w:t>2</w:t>
            </w:r>
            <w:r>
              <w:rPr>
                <w:rFonts w:eastAsia="Arial"/>
                <w:bCs/>
              </w:rPr>
              <w:t>5</w:t>
            </w:r>
            <w:r w:rsidRPr="00B80774">
              <w:rPr>
                <w:rFonts w:eastAsia="Arial"/>
                <w:bCs/>
              </w:rPr>
              <w:t>,000</w:t>
            </w:r>
          </w:p>
        </w:tc>
      </w:tr>
      <w:tr w:rsidR="00396A7C" w:rsidRPr="009D621A" w14:paraId="0D3DA03A" w14:textId="77777777" w:rsidTr="00B47C3E">
        <w:tc>
          <w:tcPr>
            <w:tcW w:w="6516" w:type="dxa"/>
          </w:tcPr>
          <w:p w14:paraId="7BD0F88D" w14:textId="77777777" w:rsidR="00396A7C" w:rsidRPr="00B80774" w:rsidRDefault="00396A7C" w:rsidP="000628F7">
            <w:pPr>
              <w:spacing w:before="120"/>
            </w:pPr>
            <w:r w:rsidRPr="00B80774">
              <w:t>Chief Financial Officer</w:t>
            </w:r>
            <w:r w:rsidRPr="00B80774">
              <w:rPr>
                <w:bCs/>
              </w:rPr>
              <w:t xml:space="preserve">  </w:t>
            </w:r>
          </w:p>
        </w:tc>
        <w:tc>
          <w:tcPr>
            <w:tcW w:w="2693" w:type="dxa"/>
          </w:tcPr>
          <w:p w14:paraId="1ADC372E" w14:textId="1C91D967" w:rsidR="00396A7C" w:rsidRPr="009D621A" w:rsidRDefault="00396A7C" w:rsidP="000628F7">
            <w:pPr>
              <w:spacing w:before="120"/>
              <w:jc w:val="center"/>
            </w:pPr>
            <w:r w:rsidRPr="00B80774">
              <w:rPr>
                <w:rFonts w:eastAsia="Arial"/>
                <w:bCs/>
              </w:rPr>
              <w:t>$</w:t>
            </w:r>
            <w:r w:rsidR="00E451CA">
              <w:rPr>
                <w:rFonts w:eastAsia="Arial"/>
                <w:bCs/>
              </w:rPr>
              <w:t>1</w:t>
            </w:r>
            <w:r>
              <w:rPr>
                <w:rFonts w:eastAsia="Arial"/>
                <w:bCs/>
              </w:rPr>
              <w:t>0</w:t>
            </w:r>
            <w:r w:rsidRPr="00B80774">
              <w:rPr>
                <w:rFonts w:eastAsia="Arial"/>
                <w:bCs/>
              </w:rPr>
              <w:t>0,000</w:t>
            </w:r>
          </w:p>
        </w:tc>
      </w:tr>
      <w:tr w:rsidR="00396A7C" w:rsidRPr="009D621A" w14:paraId="01CD1ED3" w14:textId="77777777" w:rsidTr="00B47C3E">
        <w:tc>
          <w:tcPr>
            <w:tcW w:w="6516" w:type="dxa"/>
          </w:tcPr>
          <w:p w14:paraId="1038939C" w14:textId="39953B8F" w:rsidR="00396A7C" w:rsidRPr="009D621A" w:rsidRDefault="00396A7C" w:rsidP="000628F7">
            <w:pPr>
              <w:spacing w:before="120"/>
            </w:pPr>
            <w:r w:rsidRPr="00B80774">
              <w:rPr>
                <w:rFonts w:eastAsia="Arial"/>
                <w:bCs/>
              </w:rPr>
              <w:t>General Manager Operations &amp; Infrastructure</w:t>
            </w:r>
          </w:p>
        </w:tc>
        <w:tc>
          <w:tcPr>
            <w:tcW w:w="2693" w:type="dxa"/>
          </w:tcPr>
          <w:p w14:paraId="65838689" w14:textId="09F0201C" w:rsidR="00396A7C" w:rsidRPr="009D621A" w:rsidRDefault="00396A7C" w:rsidP="000628F7">
            <w:pPr>
              <w:spacing w:before="120"/>
              <w:jc w:val="center"/>
            </w:pPr>
            <w:r w:rsidRPr="00B80774">
              <w:rPr>
                <w:rFonts w:eastAsia="Arial"/>
                <w:bCs/>
              </w:rPr>
              <w:t>$</w:t>
            </w:r>
            <w:r>
              <w:rPr>
                <w:rFonts w:eastAsia="Arial"/>
                <w:bCs/>
              </w:rPr>
              <w:t>5</w:t>
            </w:r>
            <w:r w:rsidRPr="00B80774">
              <w:rPr>
                <w:rFonts w:eastAsia="Arial"/>
                <w:bCs/>
              </w:rPr>
              <w:t>00,000</w:t>
            </w:r>
          </w:p>
        </w:tc>
      </w:tr>
    </w:tbl>
    <w:p w14:paraId="2DB89C5C" w14:textId="77777777" w:rsidR="006733DE" w:rsidRPr="007156E5" w:rsidRDefault="006733DE" w:rsidP="007156E5">
      <w:pPr>
        <w:ind w:left="720" w:hanging="360"/>
        <w:rPr>
          <w:noProof/>
          <w:highlight w:val="yellow"/>
        </w:rPr>
      </w:pPr>
    </w:p>
    <w:p w14:paraId="7F855AB8" w14:textId="449098D8" w:rsidR="006733DE" w:rsidRPr="0013325E" w:rsidRDefault="0000361A" w:rsidP="0013325E">
      <w:pPr>
        <w:pStyle w:val="Heading2"/>
        <w:rPr>
          <w:color w:val="1F4E79" w:themeColor="accent5" w:themeShade="80"/>
        </w:rPr>
      </w:pPr>
      <w:bookmarkStart w:id="14" w:name="_Toc207112797"/>
      <w:r w:rsidRPr="0013325E">
        <w:rPr>
          <w:color w:val="1F4E79" w:themeColor="accent5" w:themeShade="80"/>
        </w:rPr>
        <w:t xml:space="preserve">Waiver - </w:t>
      </w:r>
      <w:r w:rsidR="00CF67A1" w:rsidRPr="0013325E">
        <w:rPr>
          <w:color w:val="1F4E79" w:themeColor="accent5" w:themeShade="80"/>
        </w:rPr>
        <w:t>Interest and Legal Charges</w:t>
      </w:r>
      <w:bookmarkEnd w:id="14"/>
    </w:p>
    <w:p w14:paraId="39F6492B" w14:textId="3C3B8D37" w:rsidR="006733DE" w:rsidRDefault="000A378D" w:rsidP="006733DE">
      <w:pPr>
        <w:jc w:val="both"/>
      </w:pPr>
      <w:r>
        <w:t>Council may waive interest and or costs (</w:t>
      </w:r>
      <w:r w:rsidR="00212218">
        <w:t xml:space="preserve">in full </w:t>
      </w:r>
      <w:r>
        <w:t xml:space="preserve">or </w:t>
      </w:r>
      <w:r w:rsidR="00212218">
        <w:t xml:space="preserve">in </w:t>
      </w:r>
      <w:r>
        <w:t xml:space="preserve">part) where the ratepayer has demonstrated compassionate grounds for </w:t>
      </w:r>
      <w:r w:rsidR="000E4D52">
        <w:t xml:space="preserve">late </w:t>
      </w:r>
      <w:r>
        <w:t xml:space="preserve">payment. Acceptable </w:t>
      </w:r>
      <w:r w:rsidR="000E4D52">
        <w:t xml:space="preserve">grounds </w:t>
      </w:r>
      <w:r>
        <w:t xml:space="preserve">generally </w:t>
      </w:r>
      <w:r w:rsidR="000E4D52">
        <w:t>include</w:t>
      </w:r>
      <w:r>
        <w:t xml:space="preserve"> financial hardship, family breakdown, domestic violence, serious illness, or family tragedy.</w:t>
      </w:r>
      <w:r w:rsidR="006733DE" w:rsidRPr="00CF67A1">
        <w:t xml:space="preserve"> </w:t>
      </w:r>
    </w:p>
    <w:p w14:paraId="1C806858" w14:textId="0232011A" w:rsidR="00796CF5" w:rsidRDefault="000E4D52" w:rsidP="006733DE">
      <w:pPr>
        <w:jc w:val="both"/>
        <w:rPr>
          <w:noProof/>
        </w:rPr>
      </w:pPr>
      <w:r>
        <w:t xml:space="preserve">Where </w:t>
      </w:r>
      <w:r w:rsidR="00796CF5">
        <w:t xml:space="preserve">approval </w:t>
      </w:r>
      <w:r>
        <w:t xml:space="preserve">is granted for the </w:t>
      </w:r>
      <w:r w:rsidR="00C05EE7">
        <w:t>waiver of penalty interest</w:t>
      </w:r>
      <w:r w:rsidR="00404B11">
        <w:rPr>
          <w:noProof/>
        </w:rPr>
        <w:t xml:space="preserve"> and or costs</w:t>
      </w:r>
      <w:r w:rsidR="00C05EE7">
        <w:rPr>
          <w:noProof/>
        </w:rPr>
        <w:t xml:space="preserve">, the </w:t>
      </w:r>
      <w:r w:rsidR="00737E56">
        <w:rPr>
          <w:noProof/>
        </w:rPr>
        <w:t xml:space="preserve">ratepayer </w:t>
      </w:r>
      <w:r w:rsidR="00404B11">
        <w:rPr>
          <w:noProof/>
        </w:rPr>
        <w:t xml:space="preserve">must </w:t>
      </w:r>
      <w:r w:rsidR="00737E56">
        <w:rPr>
          <w:noProof/>
        </w:rPr>
        <w:t>settle</w:t>
      </w:r>
      <w:r w:rsidR="00404B11">
        <w:rPr>
          <w:noProof/>
        </w:rPr>
        <w:t xml:space="preserve"> the outstanding rates and charges </w:t>
      </w:r>
      <w:r w:rsidR="00264BDB">
        <w:rPr>
          <w:noProof/>
        </w:rPr>
        <w:t xml:space="preserve">immediately, </w:t>
      </w:r>
      <w:r w:rsidR="00404B11">
        <w:rPr>
          <w:noProof/>
        </w:rPr>
        <w:t>or by the date specified by the Chief Financial Officer (CFO) or Coordinator Revenue and Valuations.</w:t>
      </w:r>
    </w:p>
    <w:p w14:paraId="20161498" w14:textId="5F0E1168" w:rsidR="00220EAA" w:rsidRDefault="00264BDB" w:rsidP="006733DE">
      <w:pPr>
        <w:jc w:val="both"/>
        <w:rPr>
          <w:noProof/>
        </w:rPr>
      </w:pPr>
      <w:r>
        <w:rPr>
          <w:noProof/>
        </w:rPr>
        <w:t>W</w:t>
      </w:r>
      <w:r w:rsidR="00E5235D">
        <w:rPr>
          <w:noProof/>
        </w:rPr>
        <w:t xml:space="preserve">aiver of penalty interest and costs will </w:t>
      </w:r>
      <w:r>
        <w:rPr>
          <w:noProof/>
        </w:rPr>
        <w:t>typically be granted o</w:t>
      </w:r>
      <w:r w:rsidR="00E5235D">
        <w:rPr>
          <w:noProof/>
        </w:rPr>
        <w:t>n a once</w:t>
      </w:r>
      <w:r w:rsidR="00DA6CB2">
        <w:rPr>
          <w:noProof/>
        </w:rPr>
        <w:t>-</w:t>
      </w:r>
      <w:r w:rsidR="00E5235D">
        <w:rPr>
          <w:noProof/>
        </w:rPr>
        <w:t>only basis</w:t>
      </w:r>
      <w:r w:rsidR="00DA6CB2">
        <w:rPr>
          <w:noProof/>
        </w:rPr>
        <w:t xml:space="preserve">, </w:t>
      </w:r>
      <w:r w:rsidR="00E5235D">
        <w:rPr>
          <w:noProof/>
        </w:rPr>
        <w:t xml:space="preserve">unless </w:t>
      </w:r>
      <w:r w:rsidR="00DA6CB2">
        <w:rPr>
          <w:noProof/>
        </w:rPr>
        <w:t xml:space="preserve">the delay in payment was due to </w:t>
      </w:r>
      <w:r w:rsidR="00E5235D">
        <w:rPr>
          <w:noProof/>
        </w:rPr>
        <w:t>an administrative error.</w:t>
      </w:r>
    </w:p>
    <w:p w14:paraId="5604537E" w14:textId="6A93DE95" w:rsidR="00052709" w:rsidRDefault="00651334" w:rsidP="00052709">
      <w:pPr>
        <w:pStyle w:val="Heading3"/>
        <w:ind w:left="1276" w:hanging="850"/>
      </w:pPr>
      <w:r>
        <w:t xml:space="preserve">Interest and Legal Waiver </w:t>
      </w:r>
      <w:r w:rsidR="00052709">
        <w:t>Delegation:</w:t>
      </w:r>
    </w:p>
    <w:tbl>
      <w:tblPr>
        <w:tblStyle w:val="TableGrid"/>
        <w:tblpPr w:leftFromText="180" w:rightFromText="180" w:vertAnchor="text" w:horzAnchor="margin" w:tblpX="421" w:tblpY="188"/>
        <w:tblW w:w="0" w:type="auto"/>
        <w:tblLook w:val="04A0" w:firstRow="1" w:lastRow="0" w:firstColumn="1" w:lastColumn="0" w:noHBand="0" w:noVBand="1"/>
      </w:tblPr>
      <w:tblGrid>
        <w:gridCol w:w="6232"/>
        <w:gridCol w:w="1701"/>
        <w:gridCol w:w="1695"/>
      </w:tblGrid>
      <w:tr w:rsidR="00963772" w:rsidRPr="009D621A" w14:paraId="724714B2" w14:textId="77777777" w:rsidTr="00963772">
        <w:tc>
          <w:tcPr>
            <w:tcW w:w="6232" w:type="dxa"/>
            <w:shd w:val="clear" w:color="auto" w:fill="70AD47" w:themeFill="accent6"/>
          </w:tcPr>
          <w:p w14:paraId="43F1F5AB" w14:textId="77777777" w:rsidR="00963772" w:rsidRPr="00C02688" w:rsidRDefault="00963772" w:rsidP="004002AA">
            <w:pPr>
              <w:pStyle w:val="Tableheading"/>
              <w:spacing w:before="40" w:after="40"/>
              <w:rPr>
                <w:szCs w:val="22"/>
              </w:rPr>
            </w:pPr>
            <w:r w:rsidRPr="00C02688">
              <w:rPr>
                <w:szCs w:val="22"/>
              </w:rPr>
              <w:t>Authoriser</w:t>
            </w:r>
          </w:p>
        </w:tc>
        <w:tc>
          <w:tcPr>
            <w:tcW w:w="1701" w:type="dxa"/>
            <w:shd w:val="clear" w:color="auto" w:fill="70AD47" w:themeFill="accent6"/>
          </w:tcPr>
          <w:p w14:paraId="6694BF50" w14:textId="3DDAF813" w:rsidR="00963772" w:rsidRPr="00C02688" w:rsidRDefault="000E5ABB" w:rsidP="004002AA">
            <w:pPr>
              <w:pStyle w:val="Tableheading"/>
              <w:spacing w:before="40" w:after="40"/>
              <w:jc w:val="center"/>
              <w:rPr>
                <w:szCs w:val="22"/>
              </w:rPr>
            </w:pPr>
            <w:r>
              <w:rPr>
                <w:szCs w:val="22"/>
              </w:rPr>
              <w:t>Interest</w:t>
            </w:r>
          </w:p>
        </w:tc>
        <w:tc>
          <w:tcPr>
            <w:tcW w:w="1695" w:type="dxa"/>
            <w:shd w:val="clear" w:color="auto" w:fill="70AD47" w:themeFill="accent6"/>
          </w:tcPr>
          <w:p w14:paraId="346A6F92" w14:textId="6049ED6D" w:rsidR="00963772" w:rsidRPr="00C02688" w:rsidRDefault="000E5ABB" w:rsidP="004002AA">
            <w:pPr>
              <w:pStyle w:val="Tableheading"/>
              <w:spacing w:before="40" w:after="40"/>
              <w:jc w:val="center"/>
              <w:rPr>
                <w:szCs w:val="22"/>
              </w:rPr>
            </w:pPr>
            <w:r>
              <w:rPr>
                <w:szCs w:val="22"/>
              </w:rPr>
              <w:t>Legal</w:t>
            </w:r>
          </w:p>
        </w:tc>
      </w:tr>
      <w:tr w:rsidR="000E5ABB" w:rsidRPr="009D621A" w14:paraId="3CFEAB51" w14:textId="77777777" w:rsidTr="00963772">
        <w:tc>
          <w:tcPr>
            <w:tcW w:w="6232" w:type="dxa"/>
          </w:tcPr>
          <w:p w14:paraId="2BF1D6A5" w14:textId="285E8115" w:rsidR="000E5ABB" w:rsidRPr="00B80774" w:rsidRDefault="00051A8D" w:rsidP="000E5ABB">
            <w:pPr>
              <w:spacing w:before="120"/>
            </w:pPr>
            <w:r>
              <w:rPr>
                <w:bCs/>
              </w:rPr>
              <w:t>Team Leader Rates, Senior Property and Revenue Officer</w:t>
            </w:r>
          </w:p>
        </w:tc>
        <w:tc>
          <w:tcPr>
            <w:tcW w:w="1701" w:type="dxa"/>
          </w:tcPr>
          <w:p w14:paraId="1AD2123D" w14:textId="3E702D18" w:rsidR="000E5ABB" w:rsidRPr="00B80774" w:rsidRDefault="000E5ABB" w:rsidP="000E5ABB">
            <w:pPr>
              <w:spacing w:before="120"/>
              <w:jc w:val="center"/>
              <w:rPr>
                <w:rFonts w:eastAsia="Arial"/>
                <w:bCs/>
              </w:rPr>
            </w:pPr>
            <w:r w:rsidRPr="00B80774">
              <w:rPr>
                <w:rFonts w:eastAsia="Arial"/>
                <w:bCs/>
              </w:rPr>
              <w:t>$</w:t>
            </w:r>
            <w:r>
              <w:rPr>
                <w:rFonts w:eastAsia="Arial"/>
                <w:bCs/>
              </w:rPr>
              <w:t>50</w:t>
            </w:r>
          </w:p>
        </w:tc>
        <w:tc>
          <w:tcPr>
            <w:tcW w:w="1695" w:type="dxa"/>
          </w:tcPr>
          <w:p w14:paraId="77C433A8" w14:textId="3B7ECF29" w:rsidR="000E5ABB" w:rsidRPr="009D621A" w:rsidRDefault="000E5ABB" w:rsidP="000E5ABB">
            <w:pPr>
              <w:spacing w:before="120"/>
              <w:jc w:val="center"/>
            </w:pPr>
            <w:r w:rsidRPr="00B80774">
              <w:rPr>
                <w:rFonts w:eastAsia="Arial"/>
                <w:bCs/>
              </w:rPr>
              <w:t>$</w:t>
            </w:r>
            <w:r>
              <w:rPr>
                <w:rFonts w:eastAsia="Arial"/>
                <w:bCs/>
              </w:rPr>
              <w:t>0</w:t>
            </w:r>
          </w:p>
        </w:tc>
      </w:tr>
      <w:tr w:rsidR="000E5ABB" w:rsidRPr="009D621A" w14:paraId="6F4501C4" w14:textId="77777777" w:rsidTr="00963772">
        <w:tc>
          <w:tcPr>
            <w:tcW w:w="6232" w:type="dxa"/>
          </w:tcPr>
          <w:p w14:paraId="38572DAF" w14:textId="5C6EDCDB" w:rsidR="000E5ABB" w:rsidRPr="00B80774" w:rsidRDefault="00B43A20" w:rsidP="000E5ABB">
            <w:pPr>
              <w:spacing w:before="120"/>
            </w:pPr>
            <w:r w:rsidRPr="00C06CC9">
              <w:rPr>
                <w:bCs/>
              </w:rPr>
              <w:t>Coordinator Revenue &amp; Valuations</w:t>
            </w:r>
            <w:r>
              <w:rPr>
                <w:bCs/>
              </w:rPr>
              <w:t>, Head of Finance Business Partnering Analysis &amp; Compliance, Head of Financial Accounting &amp; Services</w:t>
            </w:r>
          </w:p>
        </w:tc>
        <w:tc>
          <w:tcPr>
            <w:tcW w:w="1701" w:type="dxa"/>
          </w:tcPr>
          <w:p w14:paraId="1A39D4F7" w14:textId="707ED9F1" w:rsidR="000E5ABB" w:rsidRDefault="000E5ABB" w:rsidP="000E5ABB">
            <w:pPr>
              <w:spacing w:before="120"/>
              <w:jc w:val="center"/>
              <w:rPr>
                <w:rFonts w:eastAsia="Arial"/>
                <w:bCs/>
              </w:rPr>
            </w:pPr>
            <w:r>
              <w:rPr>
                <w:rFonts w:eastAsia="Arial"/>
                <w:bCs/>
              </w:rPr>
              <w:t>$300</w:t>
            </w:r>
          </w:p>
        </w:tc>
        <w:tc>
          <w:tcPr>
            <w:tcW w:w="1695" w:type="dxa"/>
          </w:tcPr>
          <w:p w14:paraId="0380623A" w14:textId="089FB10D" w:rsidR="000E5ABB" w:rsidRPr="00B80774" w:rsidRDefault="000E5ABB" w:rsidP="000E5ABB">
            <w:pPr>
              <w:spacing w:before="120"/>
              <w:jc w:val="center"/>
              <w:rPr>
                <w:rFonts w:eastAsia="Arial"/>
                <w:bCs/>
              </w:rPr>
            </w:pPr>
            <w:r>
              <w:rPr>
                <w:rFonts w:eastAsia="Arial"/>
                <w:bCs/>
              </w:rPr>
              <w:t>$0</w:t>
            </w:r>
          </w:p>
        </w:tc>
      </w:tr>
      <w:tr w:rsidR="000E5ABB" w:rsidRPr="009D621A" w14:paraId="58F058A4" w14:textId="77777777" w:rsidTr="00963772">
        <w:tc>
          <w:tcPr>
            <w:tcW w:w="6232" w:type="dxa"/>
          </w:tcPr>
          <w:p w14:paraId="10FF22DD" w14:textId="77777777" w:rsidR="000E5ABB" w:rsidRPr="00B80774" w:rsidRDefault="000E5ABB" w:rsidP="000E5ABB">
            <w:pPr>
              <w:spacing w:before="120"/>
            </w:pPr>
            <w:r w:rsidRPr="00B80774">
              <w:t>Chief Financial Officer</w:t>
            </w:r>
            <w:r w:rsidRPr="00B80774">
              <w:rPr>
                <w:bCs/>
              </w:rPr>
              <w:t xml:space="preserve">  </w:t>
            </w:r>
          </w:p>
        </w:tc>
        <w:tc>
          <w:tcPr>
            <w:tcW w:w="1701" w:type="dxa"/>
          </w:tcPr>
          <w:p w14:paraId="4B57F917" w14:textId="50EDC22F" w:rsidR="000E5ABB" w:rsidRPr="00B80774" w:rsidRDefault="00402E7F" w:rsidP="000E5ABB">
            <w:pPr>
              <w:spacing w:before="120"/>
              <w:jc w:val="center"/>
              <w:rPr>
                <w:rFonts w:eastAsia="Arial"/>
                <w:bCs/>
              </w:rPr>
            </w:pPr>
            <w:r>
              <w:rPr>
                <w:rFonts w:eastAsia="Arial"/>
                <w:bCs/>
              </w:rPr>
              <w:t>$750</w:t>
            </w:r>
          </w:p>
        </w:tc>
        <w:tc>
          <w:tcPr>
            <w:tcW w:w="1695" w:type="dxa"/>
          </w:tcPr>
          <w:p w14:paraId="26E922FF" w14:textId="04EED6A6" w:rsidR="000E5ABB" w:rsidRPr="009D621A" w:rsidRDefault="000E5ABB" w:rsidP="000E5ABB">
            <w:pPr>
              <w:spacing w:before="120"/>
              <w:jc w:val="center"/>
            </w:pPr>
            <w:r w:rsidRPr="00B80774">
              <w:rPr>
                <w:rFonts w:eastAsia="Arial"/>
                <w:bCs/>
              </w:rPr>
              <w:t>$</w:t>
            </w:r>
            <w:r>
              <w:rPr>
                <w:rFonts w:eastAsia="Arial"/>
                <w:bCs/>
              </w:rPr>
              <w:t>20,000</w:t>
            </w:r>
          </w:p>
        </w:tc>
      </w:tr>
      <w:tr w:rsidR="000E5ABB" w:rsidRPr="009D621A" w14:paraId="4FAA0FB9" w14:textId="77777777" w:rsidTr="00963772">
        <w:tc>
          <w:tcPr>
            <w:tcW w:w="6232" w:type="dxa"/>
          </w:tcPr>
          <w:p w14:paraId="17857AC6" w14:textId="77777777" w:rsidR="000E5ABB" w:rsidRPr="009D621A" w:rsidRDefault="000E5ABB" w:rsidP="000E5ABB">
            <w:pPr>
              <w:spacing w:before="120"/>
            </w:pPr>
            <w:r w:rsidRPr="00B80774">
              <w:rPr>
                <w:rFonts w:eastAsia="Arial"/>
                <w:bCs/>
              </w:rPr>
              <w:t>General Manager Customer, Operations &amp; Infrastructure</w:t>
            </w:r>
          </w:p>
        </w:tc>
        <w:tc>
          <w:tcPr>
            <w:tcW w:w="1701" w:type="dxa"/>
          </w:tcPr>
          <w:p w14:paraId="02AFEC62" w14:textId="4218EAA0" w:rsidR="000E5ABB" w:rsidRPr="00B80774" w:rsidRDefault="00402E7F" w:rsidP="000E5ABB">
            <w:pPr>
              <w:spacing w:before="120"/>
              <w:jc w:val="center"/>
              <w:rPr>
                <w:rFonts w:eastAsia="Arial"/>
                <w:bCs/>
              </w:rPr>
            </w:pPr>
            <w:r>
              <w:rPr>
                <w:rFonts w:eastAsia="Arial"/>
                <w:bCs/>
              </w:rPr>
              <w:t>$750</w:t>
            </w:r>
          </w:p>
        </w:tc>
        <w:tc>
          <w:tcPr>
            <w:tcW w:w="1695" w:type="dxa"/>
          </w:tcPr>
          <w:p w14:paraId="76C3C6AF" w14:textId="63B602EA" w:rsidR="000E5ABB" w:rsidRPr="009D621A" w:rsidRDefault="000E5ABB" w:rsidP="000E5ABB">
            <w:pPr>
              <w:spacing w:before="120"/>
              <w:jc w:val="center"/>
            </w:pPr>
            <w:r w:rsidRPr="00B80774">
              <w:rPr>
                <w:rFonts w:eastAsia="Arial"/>
                <w:bCs/>
              </w:rPr>
              <w:t>$</w:t>
            </w:r>
            <w:r>
              <w:rPr>
                <w:rFonts w:eastAsia="Arial"/>
                <w:bCs/>
              </w:rPr>
              <w:t>5</w:t>
            </w:r>
            <w:r w:rsidRPr="00B80774">
              <w:rPr>
                <w:rFonts w:eastAsia="Arial"/>
                <w:bCs/>
              </w:rPr>
              <w:t>0,000</w:t>
            </w:r>
          </w:p>
        </w:tc>
      </w:tr>
    </w:tbl>
    <w:p w14:paraId="35922DC0" w14:textId="77777777" w:rsidR="00F177E6" w:rsidRPr="00CF67A1" w:rsidRDefault="00F177E6" w:rsidP="006733DE">
      <w:pPr>
        <w:jc w:val="both"/>
      </w:pPr>
    </w:p>
    <w:p w14:paraId="42D16732" w14:textId="3C640453" w:rsidR="006733DE" w:rsidRPr="00C17515" w:rsidRDefault="0000361A" w:rsidP="00C17515">
      <w:pPr>
        <w:pStyle w:val="Heading2"/>
        <w:rPr>
          <w:color w:val="1F4E79" w:themeColor="accent5" w:themeShade="80"/>
        </w:rPr>
      </w:pPr>
      <w:bookmarkStart w:id="15" w:name="_Toc207112798"/>
      <w:r w:rsidRPr="00C17515">
        <w:rPr>
          <w:color w:val="1F4E79" w:themeColor="accent5" w:themeShade="80"/>
        </w:rPr>
        <w:t xml:space="preserve">Waiver </w:t>
      </w:r>
      <w:r w:rsidR="00410468" w:rsidRPr="00C17515">
        <w:rPr>
          <w:color w:val="1F4E79" w:themeColor="accent5" w:themeShade="80"/>
        </w:rPr>
        <w:t>–</w:t>
      </w:r>
      <w:r w:rsidRPr="00C17515">
        <w:rPr>
          <w:color w:val="1F4E79" w:themeColor="accent5" w:themeShade="80"/>
        </w:rPr>
        <w:t xml:space="preserve"> </w:t>
      </w:r>
      <w:r w:rsidR="00410468" w:rsidRPr="00C17515">
        <w:rPr>
          <w:color w:val="1F4E79" w:themeColor="accent5" w:themeShade="80"/>
        </w:rPr>
        <w:t>Rates and Charges</w:t>
      </w:r>
      <w:bookmarkEnd w:id="15"/>
    </w:p>
    <w:p w14:paraId="642C8A9F" w14:textId="00D72621" w:rsidR="00C52A30" w:rsidRDefault="00C94E30" w:rsidP="003119FC">
      <w:pPr>
        <w:pStyle w:val="Heading3"/>
        <w:ind w:left="1276" w:hanging="850"/>
      </w:pPr>
      <w:bookmarkStart w:id="16" w:name="_Toc207112799"/>
      <w:r>
        <w:t>Waiver – Rates and Waste Charges</w:t>
      </w:r>
      <w:bookmarkEnd w:id="16"/>
    </w:p>
    <w:p w14:paraId="25C16369" w14:textId="07C94443" w:rsidR="000D7F17" w:rsidRDefault="006733DE" w:rsidP="00D11EE6">
      <w:pPr>
        <w:ind w:left="426"/>
        <w:rPr>
          <w:noProof/>
        </w:rPr>
      </w:pPr>
      <w:r w:rsidRPr="000D7F17">
        <w:rPr>
          <w:noProof/>
        </w:rPr>
        <w:t xml:space="preserve">Ratepayers </w:t>
      </w:r>
      <w:r w:rsidR="000D7F17" w:rsidRPr="008F170D">
        <w:rPr>
          <w:noProof/>
        </w:rPr>
        <w:t xml:space="preserve">who are in arrears with their rates and charges are encouraged to enter into a payment plan (refer </w:t>
      </w:r>
      <w:r w:rsidR="00823B1D">
        <w:rPr>
          <w:noProof/>
        </w:rPr>
        <w:t xml:space="preserve">to </w:t>
      </w:r>
      <w:r w:rsidR="00E1317E">
        <w:rPr>
          <w:noProof/>
        </w:rPr>
        <w:t>section 3.2 above</w:t>
      </w:r>
      <w:r w:rsidR="000D7F17" w:rsidRPr="008F170D">
        <w:rPr>
          <w:noProof/>
        </w:rPr>
        <w:t xml:space="preserve">) or </w:t>
      </w:r>
      <w:r w:rsidR="00E254C7">
        <w:rPr>
          <w:noProof/>
        </w:rPr>
        <w:t xml:space="preserve">apply for a </w:t>
      </w:r>
      <w:r w:rsidR="000D7F17" w:rsidRPr="008F170D">
        <w:rPr>
          <w:noProof/>
        </w:rPr>
        <w:t>deferral of rates and charges (refer</w:t>
      </w:r>
      <w:r w:rsidR="00F3244E">
        <w:rPr>
          <w:noProof/>
        </w:rPr>
        <w:t xml:space="preserve"> to</w:t>
      </w:r>
      <w:r w:rsidR="000D7F17" w:rsidRPr="008F170D">
        <w:rPr>
          <w:noProof/>
        </w:rPr>
        <w:t xml:space="preserve"> section </w:t>
      </w:r>
      <w:r w:rsidR="00E1317E">
        <w:rPr>
          <w:noProof/>
        </w:rPr>
        <w:t>3.3</w:t>
      </w:r>
      <w:r w:rsidR="000D7F17" w:rsidRPr="008F170D">
        <w:rPr>
          <w:noProof/>
        </w:rPr>
        <w:t xml:space="preserve"> above)</w:t>
      </w:r>
      <w:r w:rsidR="00E254C7">
        <w:rPr>
          <w:noProof/>
        </w:rPr>
        <w:t>.</w:t>
      </w:r>
    </w:p>
    <w:p w14:paraId="070F73BD" w14:textId="69ADA9C8" w:rsidR="000D7F17" w:rsidRDefault="000D7F17" w:rsidP="00D11EE6">
      <w:pPr>
        <w:ind w:left="426"/>
        <w:rPr>
          <w:noProof/>
        </w:rPr>
      </w:pPr>
      <w:r>
        <w:rPr>
          <w:noProof/>
        </w:rPr>
        <w:t xml:space="preserve">However, </w:t>
      </w:r>
      <w:r w:rsidR="00F3244E">
        <w:rPr>
          <w:noProof/>
        </w:rPr>
        <w:t xml:space="preserve">if a </w:t>
      </w:r>
      <w:r>
        <w:rPr>
          <w:noProof/>
        </w:rPr>
        <w:t xml:space="preserve">ratepayer is </w:t>
      </w:r>
      <w:r w:rsidR="00395665">
        <w:rPr>
          <w:noProof/>
        </w:rPr>
        <w:t>experiencing a temporary extreme financial crisis</w:t>
      </w:r>
      <w:r w:rsidR="00444F12">
        <w:rPr>
          <w:noProof/>
        </w:rPr>
        <w:t xml:space="preserve"> or </w:t>
      </w:r>
      <w:r w:rsidR="00395665">
        <w:rPr>
          <w:noProof/>
        </w:rPr>
        <w:t xml:space="preserve">hardship, </w:t>
      </w:r>
      <w:r>
        <w:rPr>
          <w:noProof/>
        </w:rPr>
        <w:t xml:space="preserve">they may apply for a </w:t>
      </w:r>
      <w:r w:rsidRPr="000D7F17">
        <w:rPr>
          <w:noProof/>
        </w:rPr>
        <w:t>one-off waiver</w:t>
      </w:r>
      <w:r>
        <w:rPr>
          <w:noProof/>
        </w:rPr>
        <w:t>. Th</w:t>
      </w:r>
      <w:r w:rsidR="00395665">
        <w:rPr>
          <w:noProof/>
        </w:rPr>
        <w:t>is</w:t>
      </w:r>
      <w:r>
        <w:rPr>
          <w:noProof/>
        </w:rPr>
        <w:t xml:space="preserve"> waiver </w:t>
      </w:r>
      <w:r w:rsidR="007C4366">
        <w:rPr>
          <w:noProof/>
        </w:rPr>
        <w:t xml:space="preserve">may cover </w:t>
      </w:r>
      <w:r>
        <w:rPr>
          <w:noProof/>
        </w:rPr>
        <w:t xml:space="preserve">up to 50% of the </w:t>
      </w:r>
      <w:r w:rsidRPr="00E4088A">
        <w:rPr>
          <w:noProof/>
        </w:rPr>
        <w:t>Rates and Charges less</w:t>
      </w:r>
      <w:r w:rsidR="00AA6CB2">
        <w:rPr>
          <w:noProof/>
        </w:rPr>
        <w:t xml:space="preserve"> applicable</w:t>
      </w:r>
      <w:r w:rsidRPr="00E4088A">
        <w:rPr>
          <w:noProof/>
        </w:rPr>
        <w:t xml:space="preserve"> </w:t>
      </w:r>
      <w:r w:rsidR="00AA6CB2">
        <w:rPr>
          <w:noProof/>
        </w:rPr>
        <w:t>r</w:t>
      </w:r>
      <w:r w:rsidRPr="00E4088A">
        <w:rPr>
          <w:noProof/>
        </w:rPr>
        <w:t>ebates</w:t>
      </w:r>
      <w:r>
        <w:rPr>
          <w:noProof/>
        </w:rPr>
        <w:t>, capped at a maximum of $750</w:t>
      </w:r>
      <w:r w:rsidR="007C4366">
        <w:rPr>
          <w:noProof/>
        </w:rPr>
        <w:t>, as outlined in the app</w:t>
      </w:r>
      <w:r w:rsidR="001E79D9">
        <w:rPr>
          <w:noProof/>
        </w:rPr>
        <w:t>licable A</w:t>
      </w:r>
      <w:r w:rsidR="00472CD9">
        <w:rPr>
          <w:noProof/>
        </w:rPr>
        <w:t>nnual Budget</w:t>
      </w:r>
      <w:r w:rsidR="00174343">
        <w:rPr>
          <w:noProof/>
        </w:rPr>
        <w:t xml:space="preserve">. The waiver applies only to </w:t>
      </w:r>
      <w:r>
        <w:rPr>
          <w:noProof/>
        </w:rPr>
        <w:t xml:space="preserve">the principal place of residence </w:t>
      </w:r>
      <w:r w:rsidRPr="000D7F17">
        <w:rPr>
          <w:noProof/>
        </w:rPr>
        <w:t>or business</w:t>
      </w:r>
      <w:r>
        <w:rPr>
          <w:noProof/>
        </w:rPr>
        <w:t xml:space="preserve">. </w:t>
      </w:r>
    </w:p>
    <w:p w14:paraId="76D7BCCC" w14:textId="55BD9394" w:rsidR="000D7F17" w:rsidRDefault="000D7F17" w:rsidP="00D11EE6">
      <w:pPr>
        <w:ind w:left="426"/>
      </w:pPr>
      <w:r w:rsidRPr="000D7F17">
        <w:rPr>
          <w:noProof/>
        </w:rPr>
        <w:t>T</w:t>
      </w:r>
      <w:r w:rsidR="00F86652">
        <w:rPr>
          <w:noProof/>
        </w:rPr>
        <w:t xml:space="preserve">he </w:t>
      </w:r>
      <w:r w:rsidR="00B302EE">
        <w:rPr>
          <w:noProof/>
        </w:rPr>
        <w:t>maximum waiver</w:t>
      </w:r>
      <w:r w:rsidR="00A327C5">
        <w:rPr>
          <w:noProof/>
        </w:rPr>
        <w:t xml:space="preserve"> amount</w:t>
      </w:r>
      <w:r w:rsidR="00B302EE">
        <w:rPr>
          <w:noProof/>
        </w:rPr>
        <w:t xml:space="preserve"> </w:t>
      </w:r>
      <w:r w:rsidR="006D47A7">
        <w:rPr>
          <w:noProof/>
        </w:rPr>
        <w:t>is funded from Council</w:t>
      </w:r>
      <w:r w:rsidR="00A327C5">
        <w:rPr>
          <w:noProof/>
        </w:rPr>
        <w:t>’s</w:t>
      </w:r>
      <w:r w:rsidR="006D47A7">
        <w:rPr>
          <w:noProof/>
        </w:rPr>
        <w:t xml:space="preserve"> budget</w:t>
      </w:r>
      <w:r w:rsidR="00A327C5">
        <w:rPr>
          <w:noProof/>
        </w:rPr>
        <w:t xml:space="preserve"> and is reviewed </w:t>
      </w:r>
      <w:r w:rsidR="00272AB9">
        <w:rPr>
          <w:noProof/>
        </w:rPr>
        <w:t>during budget development, taking into account factors su</w:t>
      </w:r>
      <w:proofErr w:type="spellStart"/>
      <w:r w:rsidR="00E74E36">
        <w:t>ch</w:t>
      </w:r>
      <w:proofErr w:type="spellEnd"/>
      <w:r w:rsidR="00E74E36">
        <w:t xml:space="preserve"> as </w:t>
      </w:r>
      <w:r w:rsidR="00B302EE">
        <w:t xml:space="preserve">inflation and </w:t>
      </w:r>
      <w:r w:rsidR="00272AB9">
        <w:t>C</w:t>
      </w:r>
      <w:r w:rsidR="00301902">
        <w:t>ouncil’s financial strategy.</w:t>
      </w:r>
      <w:r>
        <w:t xml:space="preserve"> </w:t>
      </w:r>
    </w:p>
    <w:p w14:paraId="45F31D09" w14:textId="0E4869D9" w:rsidR="00C66271" w:rsidRDefault="00C66271" w:rsidP="00712EF7">
      <w:pPr>
        <w:pStyle w:val="Heading3"/>
        <w:ind w:left="1276" w:hanging="850"/>
      </w:pPr>
      <w:bookmarkStart w:id="17" w:name="_Toc207112800"/>
      <w:r>
        <w:lastRenderedPageBreak/>
        <w:t>C</w:t>
      </w:r>
      <w:r w:rsidR="00712EF7">
        <w:t>alculating Council-funded waiver</w:t>
      </w:r>
      <w:bookmarkEnd w:id="17"/>
    </w:p>
    <w:p w14:paraId="2F016E09" w14:textId="5E7B943F" w:rsidR="0017780E" w:rsidRDefault="0017780E" w:rsidP="00D11EE6">
      <w:pPr>
        <w:ind w:left="426"/>
        <w:rPr>
          <w:noProof/>
        </w:rPr>
      </w:pPr>
      <w:r>
        <w:t xml:space="preserve">For the purpose of </w:t>
      </w:r>
      <w:r w:rsidR="004A749B">
        <w:rPr>
          <w:noProof/>
        </w:rPr>
        <w:t>calculating the total</w:t>
      </w:r>
      <w:r w:rsidR="00FF4343">
        <w:rPr>
          <w:noProof/>
        </w:rPr>
        <w:t xml:space="preserve"> council-funded</w:t>
      </w:r>
      <w:r w:rsidR="004A749B">
        <w:rPr>
          <w:noProof/>
        </w:rPr>
        <w:t xml:space="preserve"> waiver available, the following items in your rates notice will be included:</w:t>
      </w:r>
    </w:p>
    <w:p w14:paraId="0C8242B9" w14:textId="52609006" w:rsidR="004A749B" w:rsidRPr="006C7678" w:rsidRDefault="004A749B" w:rsidP="003857F0">
      <w:pPr>
        <w:pStyle w:val="ListParagraph"/>
        <w:numPr>
          <w:ilvl w:val="0"/>
          <w:numId w:val="9"/>
        </w:numPr>
        <w:ind w:left="851" w:hanging="425"/>
        <w:rPr>
          <w:b/>
          <w:bCs/>
        </w:rPr>
      </w:pPr>
      <w:r w:rsidRPr="006C7678">
        <w:rPr>
          <w:b/>
          <w:bCs/>
        </w:rPr>
        <w:t>General Rates</w:t>
      </w:r>
    </w:p>
    <w:p w14:paraId="60CD2B93" w14:textId="0E089F33" w:rsidR="004A749B" w:rsidRDefault="00D53B31" w:rsidP="003857F0">
      <w:pPr>
        <w:pStyle w:val="ListParagraph"/>
        <w:numPr>
          <w:ilvl w:val="0"/>
          <w:numId w:val="9"/>
        </w:numPr>
        <w:ind w:left="851" w:hanging="425"/>
      </w:pPr>
      <w:r w:rsidRPr="006C7678">
        <w:rPr>
          <w:b/>
          <w:bCs/>
        </w:rPr>
        <w:t>Waste Charges</w:t>
      </w:r>
      <w:r w:rsidR="006C7678">
        <w:t>, including:</w:t>
      </w:r>
    </w:p>
    <w:p w14:paraId="7DAD3200" w14:textId="77777777" w:rsidR="00524FCD" w:rsidRDefault="00524FCD" w:rsidP="003857F0">
      <w:pPr>
        <w:pStyle w:val="ListParagraph"/>
        <w:numPr>
          <w:ilvl w:val="1"/>
          <w:numId w:val="9"/>
        </w:numPr>
        <w:ind w:left="1276" w:hanging="425"/>
        <w:jc w:val="left"/>
        <w:rPr>
          <w:noProof/>
        </w:rPr>
      </w:pPr>
      <w:r>
        <w:rPr>
          <w:noProof/>
        </w:rPr>
        <w:t>Default waste charge</w:t>
      </w:r>
    </w:p>
    <w:p w14:paraId="78641B23" w14:textId="77777777" w:rsidR="00524FCD" w:rsidRDefault="00524FCD" w:rsidP="003857F0">
      <w:pPr>
        <w:pStyle w:val="ListParagraph"/>
        <w:numPr>
          <w:ilvl w:val="1"/>
          <w:numId w:val="9"/>
        </w:numPr>
        <w:ind w:left="1276" w:hanging="425"/>
        <w:jc w:val="left"/>
        <w:rPr>
          <w:noProof/>
        </w:rPr>
      </w:pPr>
      <w:r>
        <w:rPr>
          <w:noProof/>
        </w:rPr>
        <w:t>Kerbside Food Organic Garden Organic Collection charge</w:t>
      </w:r>
    </w:p>
    <w:p w14:paraId="337218B5" w14:textId="77777777" w:rsidR="00524FCD" w:rsidRDefault="00524FCD" w:rsidP="003857F0">
      <w:pPr>
        <w:pStyle w:val="ListParagraph"/>
        <w:numPr>
          <w:ilvl w:val="1"/>
          <w:numId w:val="9"/>
        </w:numPr>
        <w:ind w:left="1276" w:hanging="425"/>
        <w:jc w:val="left"/>
        <w:rPr>
          <w:noProof/>
        </w:rPr>
      </w:pPr>
      <w:r>
        <w:rPr>
          <w:noProof/>
        </w:rPr>
        <w:t>240 litre waste bin service charge</w:t>
      </w:r>
    </w:p>
    <w:p w14:paraId="174C035A" w14:textId="3825BE72" w:rsidR="00C76BB0" w:rsidRDefault="00C76BB0" w:rsidP="003857F0">
      <w:pPr>
        <w:pStyle w:val="ListParagraph"/>
        <w:numPr>
          <w:ilvl w:val="1"/>
          <w:numId w:val="9"/>
        </w:numPr>
        <w:ind w:left="1276" w:hanging="425"/>
        <w:jc w:val="left"/>
        <w:rPr>
          <w:noProof/>
        </w:rPr>
      </w:pPr>
      <w:r>
        <w:rPr>
          <w:noProof/>
        </w:rPr>
        <w:t>120 litre additional bin charge</w:t>
      </w:r>
    </w:p>
    <w:p w14:paraId="3B2AAF7F" w14:textId="3511BFCB" w:rsidR="00524FCD" w:rsidRDefault="00DF0A1D" w:rsidP="006C7678">
      <w:pPr>
        <w:pStyle w:val="ListParagraph"/>
        <w:numPr>
          <w:ilvl w:val="0"/>
          <w:numId w:val="9"/>
        </w:numPr>
        <w:ind w:left="851" w:hanging="425"/>
        <w:rPr>
          <w:noProof/>
        </w:rPr>
      </w:pPr>
      <w:r w:rsidRPr="00DF0A1D">
        <w:rPr>
          <w:b/>
          <w:bCs/>
          <w:noProof/>
        </w:rPr>
        <w:t>Waste R</w:t>
      </w:r>
      <w:r w:rsidR="00524FCD" w:rsidRPr="00DF0A1D">
        <w:rPr>
          <w:b/>
          <w:bCs/>
          <w:noProof/>
        </w:rPr>
        <w:t>ebates</w:t>
      </w:r>
      <w:r>
        <w:rPr>
          <w:noProof/>
        </w:rPr>
        <w:t>,</w:t>
      </w:r>
      <w:r w:rsidR="00524FCD">
        <w:rPr>
          <w:noProof/>
        </w:rPr>
        <w:t xml:space="preserve"> </w:t>
      </w:r>
      <w:r>
        <w:rPr>
          <w:noProof/>
        </w:rPr>
        <w:t>including</w:t>
      </w:r>
      <w:r w:rsidR="00524FCD">
        <w:rPr>
          <w:noProof/>
        </w:rPr>
        <w:t>:</w:t>
      </w:r>
    </w:p>
    <w:p w14:paraId="6F9B6982" w14:textId="77777777" w:rsidR="00524FCD" w:rsidRDefault="00524FCD" w:rsidP="0018782F">
      <w:pPr>
        <w:pStyle w:val="ListParagraph"/>
        <w:numPr>
          <w:ilvl w:val="1"/>
          <w:numId w:val="9"/>
        </w:numPr>
        <w:ind w:left="1276" w:hanging="425"/>
        <w:jc w:val="left"/>
        <w:rPr>
          <w:noProof/>
        </w:rPr>
      </w:pPr>
      <w:r>
        <w:rPr>
          <w:noProof/>
        </w:rPr>
        <w:t>80 litre bin rebate</w:t>
      </w:r>
    </w:p>
    <w:p w14:paraId="382BA048" w14:textId="77777777" w:rsidR="00524FCD" w:rsidRDefault="00524FCD" w:rsidP="0018782F">
      <w:pPr>
        <w:pStyle w:val="ListParagraph"/>
        <w:numPr>
          <w:ilvl w:val="1"/>
          <w:numId w:val="9"/>
        </w:numPr>
        <w:ind w:left="1276" w:hanging="425"/>
        <w:jc w:val="left"/>
        <w:rPr>
          <w:noProof/>
        </w:rPr>
      </w:pPr>
      <w:r>
        <w:rPr>
          <w:noProof/>
        </w:rPr>
        <w:t>residential private collection rebate</w:t>
      </w:r>
    </w:p>
    <w:p w14:paraId="7CB0ADF7" w14:textId="77777777" w:rsidR="00524FCD" w:rsidRDefault="00524FCD" w:rsidP="0018782F">
      <w:pPr>
        <w:pStyle w:val="ListParagraph"/>
        <w:numPr>
          <w:ilvl w:val="1"/>
          <w:numId w:val="9"/>
        </w:numPr>
        <w:ind w:left="1276" w:hanging="425"/>
        <w:jc w:val="left"/>
        <w:rPr>
          <w:noProof/>
        </w:rPr>
      </w:pPr>
      <w:r>
        <w:rPr>
          <w:noProof/>
        </w:rPr>
        <w:t>residential one-occupancy rebate (car parks and or storage areas)</w:t>
      </w:r>
    </w:p>
    <w:p w14:paraId="210EC555" w14:textId="77777777" w:rsidR="00524FCD" w:rsidRDefault="00524FCD" w:rsidP="0018782F">
      <w:pPr>
        <w:pStyle w:val="ListParagraph"/>
        <w:numPr>
          <w:ilvl w:val="1"/>
          <w:numId w:val="9"/>
        </w:numPr>
        <w:ind w:left="1276" w:hanging="425"/>
        <w:jc w:val="left"/>
        <w:rPr>
          <w:noProof/>
        </w:rPr>
      </w:pPr>
      <w:r>
        <w:rPr>
          <w:noProof/>
        </w:rPr>
        <w:t xml:space="preserve">commercial one-occupancy waste rebate for car park space (not applicable to commercial car park operators).  </w:t>
      </w:r>
    </w:p>
    <w:p w14:paraId="4EB5173C" w14:textId="1A9DB8B2" w:rsidR="00524FCD" w:rsidRPr="00C76BB0" w:rsidRDefault="00524FCD" w:rsidP="003857F0">
      <w:pPr>
        <w:pStyle w:val="ListParagraph"/>
        <w:numPr>
          <w:ilvl w:val="0"/>
          <w:numId w:val="9"/>
        </w:numPr>
        <w:ind w:left="851" w:hanging="425"/>
        <w:rPr>
          <w:b/>
          <w:bCs/>
        </w:rPr>
      </w:pPr>
      <w:r w:rsidRPr="00C76BB0">
        <w:rPr>
          <w:b/>
          <w:bCs/>
        </w:rPr>
        <w:t>Council</w:t>
      </w:r>
      <w:r w:rsidR="00C76BB0">
        <w:rPr>
          <w:b/>
          <w:bCs/>
        </w:rPr>
        <w:t>-</w:t>
      </w:r>
      <w:r w:rsidRPr="00C76BB0">
        <w:rPr>
          <w:b/>
          <w:bCs/>
        </w:rPr>
        <w:t>funded Pensioner Rebate</w:t>
      </w:r>
    </w:p>
    <w:p w14:paraId="59B78272" w14:textId="77777777" w:rsidR="00601A09" w:rsidRDefault="00524FCD" w:rsidP="003857F0">
      <w:pPr>
        <w:pStyle w:val="ListParagraph"/>
        <w:numPr>
          <w:ilvl w:val="0"/>
          <w:numId w:val="9"/>
        </w:numPr>
        <w:ind w:left="851" w:hanging="425"/>
        <w:rPr>
          <w:b/>
          <w:bCs/>
        </w:rPr>
      </w:pPr>
      <w:r w:rsidRPr="00C76BB0">
        <w:rPr>
          <w:b/>
          <w:bCs/>
        </w:rPr>
        <w:t>Victoria Government funded Pensioner Rebate</w:t>
      </w:r>
    </w:p>
    <w:p w14:paraId="14492BF8" w14:textId="3DD18B3F" w:rsidR="00524FCD" w:rsidRPr="00C76BB0" w:rsidRDefault="00601A09" w:rsidP="003857F0">
      <w:pPr>
        <w:pStyle w:val="ListParagraph"/>
        <w:numPr>
          <w:ilvl w:val="0"/>
          <w:numId w:val="9"/>
        </w:numPr>
        <w:ind w:left="851" w:hanging="425"/>
        <w:rPr>
          <w:b/>
          <w:bCs/>
        </w:rPr>
      </w:pPr>
      <w:r>
        <w:rPr>
          <w:b/>
          <w:bCs/>
        </w:rPr>
        <w:t>Emergency Services Volunteer Fund</w:t>
      </w:r>
      <w:r w:rsidR="00985056">
        <w:rPr>
          <w:b/>
          <w:bCs/>
        </w:rPr>
        <w:t xml:space="preserve"> Levy and Rebates</w:t>
      </w:r>
      <w:r w:rsidR="00524FCD" w:rsidRPr="00C76BB0">
        <w:rPr>
          <w:b/>
          <w:bCs/>
        </w:rPr>
        <w:t xml:space="preserve"> </w:t>
      </w:r>
    </w:p>
    <w:p w14:paraId="3C203488" w14:textId="08E9FFE9" w:rsidR="00FF4343" w:rsidRDefault="003412FA" w:rsidP="001F24BF">
      <w:pPr>
        <w:ind w:left="426"/>
        <w:rPr>
          <w:noProof/>
        </w:rPr>
      </w:pPr>
      <w:r>
        <w:rPr>
          <w:noProof/>
        </w:rPr>
        <w:t xml:space="preserve">Please note: </w:t>
      </w:r>
      <w:r w:rsidR="00AE4693">
        <w:rPr>
          <w:noProof/>
        </w:rPr>
        <w:t xml:space="preserve">Annual </w:t>
      </w:r>
      <w:r w:rsidR="005002A4">
        <w:rPr>
          <w:noProof/>
        </w:rPr>
        <w:t xml:space="preserve">Garbage Charge for non-rateable tenements will not be included. </w:t>
      </w:r>
      <w:r>
        <w:rPr>
          <w:noProof/>
        </w:rPr>
        <w:t>As n</w:t>
      </w:r>
      <w:r w:rsidR="005002A4">
        <w:rPr>
          <w:noProof/>
        </w:rPr>
        <w:t>on-rateable properties do not pay general rates, it is</w:t>
      </w:r>
      <w:r>
        <w:rPr>
          <w:noProof/>
        </w:rPr>
        <w:t xml:space="preserve"> considered</w:t>
      </w:r>
      <w:r w:rsidR="005002A4">
        <w:rPr>
          <w:noProof/>
        </w:rPr>
        <w:t xml:space="preserve"> fair and appropriate that they contribute towards the cost of waste services.</w:t>
      </w:r>
    </w:p>
    <w:p w14:paraId="4A2A3DBD" w14:textId="6CBAD35E" w:rsidR="00A942C1" w:rsidRPr="00274FEC" w:rsidRDefault="00BB5DF3" w:rsidP="003119FC">
      <w:pPr>
        <w:pStyle w:val="Heading3"/>
        <w:ind w:left="1276" w:hanging="850"/>
      </w:pPr>
      <w:bookmarkStart w:id="18" w:name="_Toc207112801"/>
      <w:r w:rsidRPr="00274FEC">
        <w:t>Eligibility C</w:t>
      </w:r>
      <w:r w:rsidR="00A23590" w:rsidRPr="00274FEC">
        <w:t>riteria</w:t>
      </w:r>
      <w:bookmarkEnd w:id="18"/>
    </w:p>
    <w:p w14:paraId="253DAC1B" w14:textId="77777777" w:rsidR="004241AD" w:rsidRDefault="004241AD" w:rsidP="004241AD">
      <w:pPr>
        <w:ind w:firstLine="426"/>
      </w:pPr>
      <w:r>
        <w:t>Eligibility for a waiver of rates and charges will apply where:</w:t>
      </w:r>
    </w:p>
    <w:p w14:paraId="04207D86" w14:textId="0EFB2F64" w:rsidR="00DD5109" w:rsidRPr="001A74C2" w:rsidRDefault="00DD5109" w:rsidP="003857F0">
      <w:pPr>
        <w:pStyle w:val="ListParagraph"/>
        <w:numPr>
          <w:ilvl w:val="0"/>
          <w:numId w:val="9"/>
        </w:numPr>
        <w:ind w:left="851" w:hanging="425"/>
      </w:pPr>
      <w:r w:rsidRPr="001A74C2">
        <w:t xml:space="preserve">Residential ratepayers are </w:t>
      </w:r>
      <w:r>
        <w:t xml:space="preserve">experiencing severe financial </w:t>
      </w:r>
      <w:r w:rsidR="007C1F85">
        <w:t>hardship</w:t>
      </w:r>
      <w:r w:rsidR="002F3D9F">
        <w:t xml:space="preserve"> who </w:t>
      </w:r>
      <w:r>
        <w:t xml:space="preserve">are </w:t>
      </w:r>
      <w:r w:rsidRPr="00A94340">
        <w:t xml:space="preserve">current recipients of </w:t>
      </w:r>
      <w:r>
        <w:t xml:space="preserve">the </w:t>
      </w:r>
      <w:r w:rsidRPr="00A94340">
        <w:t>Victorian Government Utilities Relief Hardship Scheme</w:t>
      </w:r>
      <w:r>
        <w:t xml:space="preserve">. </w:t>
      </w:r>
    </w:p>
    <w:p w14:paraId="6D7C3F9D" w14:textId="77777777" w:rsidR="00DD5109" w:rsidRPr="001A74C2" w:rsidRDefault="00DD5109" w:rsidP="003857F0">
      <w:pPr>
        <w:pStyle w:val="ListParagraph"/>
        <w:numPr>
          <w:ilvl w:val="0"/>
          <w:numId w:val="9"/>
        </w:numPr>
        <w:ind w:left="851" w:hanging="425"/>
      </w:pPr>
      <w:r w:rsidRPr="001A74C2">
        <w:t xml:space="preserve">Non-residential ratepayers </w:t>
      </w:r>
      <w:r>
        <w:t xml:space="preserve">(or their tenants) </w:t>
      </w:r>
      <w:r w:rsidRPr="00147B16">
        <w:t>that are experiencing severe financial hardship</w:t>
      </w:r>
      <w:r>
        <w:t xml:space="preserve"> (see definition below). </w:t>
      </w:r>
      <w:r w:rsidRPr="00462B13">
        <w:t xml:space="preserve"> Where appropriate, the landlord, must provide a declaration that they will pass on the </w:t>
      </w:r>
      <w:r>
        <w:t>waiver</w:t>
      </w:r>
      <w:r w:rsidRPr="00462B13">
        <w:t xml:space="preserve"> of rates and charges to their tenant.</w:t>
      </w:r>
    </w:p>
    <w:p w14:paraId="52A1643E" w14:textId="77777777" w:rsidR="00DD5109" w:rsidRPr="001A74C2" w:rsidRDefault="00DD5109" w:rsidP="00961960">
      <w:pPr>
        <w:ind w:left="426"/>
      </w:pPr>
      <w:r w:rsidRPr="00D835C3">
        <w:t>Very low-income earners that do not meet automatic eligibility requirements may still be eligible for support.</w:t>
      </w:r>
      <w:r>
        <w:t xml:space="preserve"> </w:t>
      </w:r>
      <w:r w:rsidRPr="001A74C2">
        <w:t>You must show</w:t>
      </w:r>
      <w:r w:rsidRPr="00DD5109">
        <w:t xml:space="preserve"> that you have no way of paying the account without assistance, </w:t>
      </w:r>
      <w:r w:rsidRPr="00DD5109">
        <w:rPr>
          <w:b/>
          <w:bCs/>
        </w:rPr>
        <w:t>and </w:t>
      </w:r>
      <w:r w:rsidRPr="00DD5109">
        <w:t>you must meet </w:t>
      </w:r>
      <w:r w:rsidRPr="00DD5109">
        <w:rPr>
          <w:b/>
          <w:bCs/>
        </w:rPr>
        <w:t>one</w:t>
      </w:r>
      <w:r w:rsidRPr="00DD5109">
        <w:t> of the following criteria:</w:t>
      </w:r>
    </w:p>
    <w:p w14:paraId="148F8242" w14:textId="77777777" w:rsidR="00DD5109" w:rsidRPr="003A153E" w:rsidRDefault="00DD5109" w:rsidP="003857F0">
      <w:pPr>
        <w:pStyle w:val="ListParagraph"/>
        <w:numPr>
          <w:ilvl w:val="0"/>
          <w:numId w:val="9"/>
        </w:numPr>
        <w:ind w:left="851" w:hanging="425"/>
      </w:pPr>
      <w:r w:rsidRPr="003A153E">
        <w:t>You or someone in your house has experienced family violence.</w:t>
      </w:r>
    </w:p>
    <w:p w14:paraId="6084C862" w14:textId="77777777" w:rsidR="00DD5109" w:rsidRPr="003A153E" w:rsidRDefault="00DD5109" w:rsidP="003857F0">
      <w:pPr>
        <w:pStyle w:val="ListParagraph"/>
        <w:numPr>
          <w:ilvl w:val="0"/>
          <w:numId w:val="9"/>
        </w:numPr>
        <w:ind w:left="851" w:hanging="425"/>
      </w:pPr>
      <w:r w:rsidRPr="003A153E">
        <w:t>You have had a recent decrease in income, for example, lost your job.</w:t>
      </w:r>
    </w:p>
    <w:p w14:paraId="61085076" w14:textId="77777777" w:rsidR="00DD5109" w:rsidRPr="003A153E" w:rsidRDefault="00DD5109" w:rsidP="003857F0">
      <w:pPr>
        <w:pStyle w:val="ListParagraph"/>
        <w:numPr>
          <w:ilvl w:val="0"/>
          <w:numId w:val="9"/>
        </w:numPr>
        <w:ind w:left="851" w:hanging="425"/>
      </w:pPr>
      <w:r w:rsidRPr="003A153E">
        <w:t>You have had high unexpected costs for essential items.</w:t>
      </w:r>
    </w:p>
    <w:p w14:paraId="1703982F" w14:textId="77777777" w:rsidR="00DD5109" w:rsidRPr="003A153E" w:rsidRDefault="00DD5109" w:rsidP="003857F0">
      <w:pPr>
        <w:pStyle w:val="ListParagraph"/>
        <w:numPr>
          <w:ilvl w:val="0"/>
          <w:numId w:val="9"/>
        </w:numPr>
        <w:ind w:left="851" w:hanging="425"/>
      </w:pPr>
      <w:r w:rsidRPr="003A153E">
        <w:t>The cost of shelter is more than 30% of your household income.</w:t>
      </w:r>
    </w:p>
    <w:p w14:paraId="7FF20A54" w14:textId="0AECAE94" w:rsidR="00DD5109" w:rsidRPr="00961960" w:rsidRDefault="00DD5109" w:rsidP="00961960">
      <w:pPr>
        <w:ind w:left="426"/>
      </w:pPr>
      <w:r w:rsidRPr="00961960">
        <w:t xml:space="preserve">The General Manager and/or the CFO have discretion to consider eligibility outside of the above </w:t>
      </w:r>
      <w:r w:rsidR="00C37496">
        <w:t xml:space="preserve">criteria in cases where </w:t>
      </w:r>
      <w:r w:rsidRPr="00961960">
        <w:t xml:space="preserve">technicalities would otherwise </w:t>
      </w:r>
      <w:r w:rsidR="00C37496">
        <w:t>prevent qualification.</w:t>
      </w:r>
      <w:r w:rsidRPr="00961960">
        <w:t xml:space="preserve"> Thi</w:t>
      </w:r>
      <w:r w:rsidR="00446576">
        <w:t xml:space="preserve">s discretion will be exercised </w:t>
      </w:r>
      <w:r w:rsidRPr="00961960">
        <w:t xml:space="preserve">sparingly. </w:t>
      </w:r>
    </w:p>
    <w:p w14:paraId="5104D586" w14:textId="103C7847" w:rsidR="00BB5DF3" w:rsidRDefault="00DD5109" w:rsidP="00961960">
      <w:pPr>
        <w:ind w:left="426"/>
      </w:pPr>
      <w:r w:rsidRPr="00961960">
        <w:lastRenderedPageBreak/>
        <w:t xml:space="preserve">Council does not currently offer waivers to recipients of an eligible </w:t>
      </w:r>
      <w:r w:rsidR="007C1F85" w:rsidRPr="00961960">
        <w:t>concession,</w:t>
      </w:r>
      <w:r w:rsidRPr="00961960">
        <w:t xml:space="preserve"> or a class of persons determined by Council, on the grounds of financial hardship, other than as listed in this Policy.</w:t>
      </w:r>
    </w:p>
    <w:p w14:paraId="00E6F222" w14:textId="2E293907" w:rsidR="00BC7EDA" w:rsidRDefault="00817F3D" w:rsidP="00BC7EDA">
      <w:pPr>
        <w:pStyle w:val="Heading3"/>
        <w:ind w:left="1276" w:hanging="850"/>
      </w:pPr>
      <w:r>
        <w:t>Rates and Charges</w:t>
      </w:r>
      <w:r w:rsidR="00BC7EDA">
        <w:t xml:space="preserve"> Waiver Delegation:</w:t>
      </w:r>
    </w:p>
    <w:tbl>
      <w:tblPr>
        <w:tblStyle w:val="TableGrid"/>
        <w:tblpPr w:leftFromText="180" w:rightFromText="180" w:vertAnchor="text" w:horzAnchor="margin" w:tblpX="421" w:tblpY="188"/>
        <w:tblW w:w="0" w:type="auto"/>
        <w:tblLook w:val="04A0" w:firstRow="1" w:lastRow="0" w:firstColumn="1" w:lastColumn="0" w:noHBand="0" w:noVBand="1"/>
      </w:tblPr>
      <w:tblGrid>
        <w:gridCol w:w="6516"/>
        <w:gridCol w:w="2693"/>
      </w:tblGrid>
      <w:tr w:rsidR="00BC7EDA" w:rsidRPr="009D621A" w14:paraId="7BF07F51" w14:textId="77777777" w:rsidTr="00FD1A6C">
        <w:tc>
          <w:tcPr>
            <w:tcW w:w="6516" w:type="dxa"/>
            <w:shd w:val="clear" w:color="auto" w:fill="70AD47" w:themeFill="accent6"/>
          </w:tcPr>
          <w:p w14:paraId="31829E9A" w14:textId="77777777" w:rsidR="00BC7EDA" w:rsidRPr="00C02688" w:rsidRDefault="00BC7EDA" w:rsidP="00FD1A6C">
            <w:pPr>
              <w:pStyle w:val="Tableheading"/>
              <w:spacing w:before="40" w:after="40"/>
              <w:rPr>
                <w:szCs w:val="22"/>
              </w:rPr>
            </w:pPr>
            <w:r w:rsidRPr="00C02688">
              <w:rPr>
                <w:szCs w:val="22"/>
              </w:rPr>
              <w:t>Authoriser</w:t>
            </w:r>
          </w:p>
        </w:tc>
        <w:tc>
          <w:tcPr>
            <w:tcW w:w="2693" w:type="dxa"/>
            <w:shd w:val="clear" w:color="auto" w:fill="70AD47" w:themeFill="accent6"/>
          </w:tcPr>
          <w:p w14:paraId="7B0B4F5C" w14:textId="77777777" w:rsidR="00BC7EDA" w:rsidRPr="00C02688" w:rsidRDefault="00BC7EDA" w:rsidP="00FD1A6C">
            <w:pPr>
              <w:pStyle w:val="Tableheading"/>
              <w:spacing w:before="40" w:after="40"/>
              <w:jc w:val="center"/>
              <w:rPr>
                <w:szCs w:val="22"/>
              </w:rPr>
            </w:pPr>
            <w:r w:rsidRPr="00C02688">
              <w:rPr>
                <w:szCs w:val="22"/>
              </w:rPr>
              <w:t>Amount</w:t>
            </w:r>
          </w:p>
        </w:tc>
      </w:tr>
      <w:tr w:rsidR="00817F3D" w:rsidRPr="009D621A" w14:paraId="40213BC9" w14:textId="77777777" w:rsidTr="00FD1A6C">
        <w:tc>
          <w:tcPr>
            <w:tcW w:w="6516" w:type="dxa"/>
          </w:tcPr>
          <w:p w14:paraId="54515337" w14:textId="77777777" w:rsidR="00817F3D" w:rsidRPr="00B80774" w:rsidRDefault="00817F3D" w:rsidP="00817F3D">
            <w:pPr>
              <w:spacing w:before="120"/>
            </w:pPr>
            <w:r w:rsidRPr="00B80774">
              <w:t>Coordinator Revenue &amp; Valuations</w:t>
            </w:r>
            <w:r w:rsidRPr="00B80774">
              <w:rPr>
                <w:bCs/>
              </w:rPr>
              <w:t xml:space="preserve"> </w:t>
            </w:r>
          </w:p>
        </w:tc>
        <w:tc>
          <w:tcPr>
            <w:tcW w:w="2693" w:type="dxa"/>
          </w:tcPr>
          <w:p w14:paraId="4EF24A82" w14:textId="087C17D4" w:rsidR="00817F3D" w:rsidRPr="009D621A" w:rsidRDefault="00817F3D" w:rsidP="00817F3D">
            <w:pPr>
              <w:spacing w:before="120"/>
              <w:jc w:val="center"/>
            </w:pPr>
            <w:r w:rsidRPr="00B80774">
              <w:rPr>
                <w:rFonts w:eastAsia="Arial"/>
                <w:bCs/>
              </w:rPr>
              <w:t>$</w:t>
            </w:r>
            <w:r>
              <w:rPr>
                <w:rFonts w:eastAsia="Arial"/>
                <w:bCs/>
              </w:rPr>
              <w:t>300</w:t>
            </w:r>
          </w:p>
        </w:tc>
      </w:tr>
      <w:tr w:rsidR="00817F3D" w:rsidRPr="009D621A" w14:paraId="08A353B6" w14:textId="77777777" w:rsidTr="00FD1A6C">
        <w:tc>
          <w:tcPr>
            <w:tcW w:w="6516" w:type="dxa"/>
          </w:tcPr>
          <w:p w14:paraId="55FF70B3" w14:textId="77777777" w:rsidR="00817F3D" w:rsidRPr="00B80774" w:rsidRDefault="00817F3D" w:rsidP="00817F3D">
            <w:pPr>
              <w:spacing w:before="120"/>
            </w:pPr>
            <w:r w:rsidRPr="00B80774">
              <w:t>Chief Financial Officer</w:t>
            </w:r>
            <w:r w:rsidRPr="00B80774">
              <w:rPr>
                <w:bCs/>
              </w:rPr>
              <w:t xml:space="preserve">  </w:t>
            </w:r>
          </w:p>
        </w:tc>
        <w:tc>
          <w:tcPr>
            <w:tcW w:w="2693" w:type="dxa"/>
          </w:tcPr>
          <w:p w14:paraId="43936555" w14:textId="0FAD0438" w:rsidR="00817F3D" w:rsidRPr="009D621A" w:rsidRDefault="00817F3D" w:rsidP="00817F3D">
            <w:pPr>
              <w:spacing w:before="120"/>
              <w:jc w:val="center"/>
            </w:pPr>
            <w:r>
              <w:rPr>
                <w:rFonts w:eastAsia="Arial"/>
                <w:bCs/>
              </w:rPr>
              <w:t>$750</w:t>
            </w:r>
          </w:p>
        </w:tc>
      </w:tr>
      <w:tr w:rsidR="00817F3D" w:rsidRPr="009D621A" w14:paraId="5DBF82B6" w14:textId="77777777" w:rsidTr="00FD1A6C">
        <w:tc>
          <w:tcPr>
            <w:tcW w:w="6516" w:type="dxa"/>
          </w:tcPr>
          <w:p w14:paraId="7CCF1AD2" w14:textId="77777777" w:rsidR="00817F3D" w:rsidRPr="009D621A" w:rsidRDefault="00817F3D" w:rsidP="00817F3D">
            <w:pPr>
              <w:spacing w:before="120"/>
            </w:pPr>
            <w:r w:rsidRPr="00B80774">
              <w:rPr>
                <w:rFonts w:eastAsia="Arial"/>
                <w:bCs/>
              </w:rPr>
              <w:t>General Manager Operations &amp; Infrastructure</w:t>
            </w:r>
          </w:p>
        </w:tc>
        <w:tc>
          <w:tcPr>
            <w:tcW w:w="2693" w:type="dxa"/>
          </w:tcPr>
          <w:p w14:paraId="3044E2DA" w14:textId="5A44642D" w:rsidR="00817F3D" w:rsidRPr="009D621A" w:rsidRDefault="00817F3D" w:rsidP="00817F3D">
            <w:pPr>
              <w:spacing w:before="120"/>
              <w:jc w:val="center"/>
            </w:pPr>
            <w:r>
              <w:rPr>
                <w:rFonts w:eastAsia="Arial"/>
                <w:bCs/>
              </w:rPr>
              <w:t>$750</w:t>
            </w:r>
          </w:p>
        </w:tc>
      </w:tr>
    </w:tbl>
    <w:p w14:paraId="3025B44C" w14:textId="77777777" w:rsidR="00BC7EDA" w:rsidRPr="00BB5DF3" w:rsidRDefault="00BC7EDA" w:rsidP="00961960">
      <w:pPr>
        <w:ind w:left="426"/>
      </w:pPr>
    </w:p>
    <w:p w14:paraId="60147D9A" w14:textId="4E4DB98B" w:rsidR="00B11294" w:rsidRPr="005D368C" w:rsidRDefault="00FA47F3" w:rsidP="00095CE7">
      <w:pPr>
        <w:pStyle w:val="Heading1"/>
        <w:ind w:left="709" w:hanging="709"/>
        <w:rPr>
          <w:color w:val="1F4E79" w:themeColor="accent5" w:themeShade="80"/>
        </w:rPr>
      </w:pPr>
      <w:bookmarkStart w:id="19" w:name="_Toc207112802"/>
      <w:r w:rsidRPr="005D368C">
        <w:rPr>
          <w:color w:val="1F4E79" w:themeColor="accent5" w:themeShade="80"/>
        </w:rPr>
        <w:t>Support for Applications</w:t>
      </w:r>
      <w:bookmarkEnd w:id="19"/>
    </w:p>
    <w:p w14:paraId="0B2EBDCC" w14:textId="77777777" w:rsidR="0054533D" w:rsidRDefault="0054533D" w:rsidP="00AD4D55">
      <w:r>
        <w:t>An</w:t>
      </w:r>
      <w:r w:rsidRPr="00A94340">
        <w:t xml:space="preserve"> applicant </w:t>
      </w:r>
      <w:r>
        <w:t xml:space="preserve">will be required to submit evidence in support of their application </w:t>
      </w:r>
      <w:r w:rsidRPr="00A94340">
        <w:t xml:space="preserve">as </w:t>
      </w:r>
      <w:r>
        <w:t xml:space="preserve">required by Council in writing, by email or using an electronic </w:t>
      </w:r>
      <w:r w:rsidRPr="00A94340">
        <w:t>application form nominated by Council</w:t>
      </w:r>
      <w:r>
        <w:t xml:space="preserve"> appearing on Council’s website.</w:t>
      </w:r>
    </w:p>
    <w:p w14:paraId="1B33F721" w14:textId="620AD165" w:rsidR="0054533D" w:rsidRDefault="0054533D" w:rsidP="00AD4D55">
      <w:r>
        <w:t xml:space="preserve">Unless an applicant is automatically eligible given they </w:t>
      </w:r>
      <w:r w:rsidRPr="00A94340">
        <w:t>are current recipients of Victorian Government Utilities Relief Hardship Scheme</w:t>
      </w:r>
      <w:r>
        <w:t>, Council may request that they provide some or all of the following information on a confidential basis:</w:t>
      </w:r>
    </w:p>
    <w:p w14:paraId="339C736C" w14:textId="04B7D2F7" w:rsidR="0054533D" w:rsidRDefault="0054533D" w:rsidP="003857F0">
      <w:pPr>
        <w:pStyle w:val="ListParagraph"/>
        <w:numPr>
          <w:ilvl w:val="0"/>
          <w:numId w:val="15"/>
        </w:numPr>
        <w:spacing w:line="240" w:lineRule="auto"/>
        <w:contextualSpacing w:val="0"/>
      </w:pPr>
      <w:r>
        <w:t xml:space="preserve">Confirmation that the ratepayer is currently unemployed, stood down, working </w:t>
      </w:r>
      <w:r w:rsidR="007F6E86">
        <w:t>significantly</w:t>
      </w:r>
      <w:r>
        <w:t xml:space="preserve"> reduced hours or receiving government assistance related to a scheme to support employees.</w:t>
      </w:r>
    </w:p>
    <w:p w14:paraId="1404C630" w14:textId="77777777" w:rsidR="0054533D" w:rsidRDefault="0054533D" w:rsidP="003857F0">
      <w:pPr>
        <w:pStyle w:val="ListParagraph"/>
        <w:numPr>
          <w:ilvl w:val="0"/>
          <w:numId w:val="15"/>
        </w:numPr>
        <w:spacing w:line="240" w:lineRule="auto"/>
        <w:contextualSpacing w:val="0"/>
      </w:pPr>
      <w:r>
        <w:t>Evidence of personal circumstances unrelated to employment (</w:t>
      </w:r>
      <w:r w:rsidRPr="003C12EF">
        <w:t>family tragedy</w:t>
      </w:r>
      <w:r>
        <w:t>, serious illness, domestic violence, or other serious and difficult unplanned circumstances) that has impacted the applicant’s ability to pay their rates and charges.</w:t>
      </w:r>
    </w:p>
    <w:p w14:paraId="1633CBA6" w14:textId="77777777" w:rsidR="0054533D" w:rsidRDefault="0054533D" w:rsidP="003857F0">
      <w:pPr>
        <w:pStyle w:val="ListParagraph"/>
        <w:numPr>
          <w:ilvl w:val="0"/>
          <w:numId w:val="15"/>
        </w:numPr>
        <w:spacing w:line="240" w:lineRule="auto"/>
        <w:contextualSpacing w:val="0"/>
      </w:pPr>
      <w:r>
        <w:t>A current statement of assets and liabilities, including cash resources (or similar) available to meet ongoing living expenses. This may include related entities of the ratepayer.</w:t>
      </w:r>
    </w:p>
    <w:p w14:paraId="5C185939" w14:textId="77777777" w:rsidR="0054533D" w:rsidRDefault="0054533D" w:rsidP="003857F0">
      <w:pPr>
        <w:pStyle w:val="ListParagraph"/>
        <w:numPr>
          <w:ilvl w:val="0"/>
          <w:numId w:val="15"/>
        </w:numPr>
        <w:spacing w:line="240" w:lineRule="auto"/>
        <w:contextualSpacing w:val="0"/>
      </w:pPr>
      <w:r>
        <w:t>Copies of ratepayer’s tax returns for the last 3 years.</w:t>
      </w:r>
    </w:p>
    <w:p w14:paraId="2D23C935" w14:textId="77777777" w:rsidR="0054533D" w:rsidRDefault="0054533D" w:rsidP="003857F0">
      <w:pPr>
        <w:pStyle w:val="ListParagraph"/>
        <w:numPr>
          <w:ilvl w:val="0"/>
          <w:numId w:val="15"/>
        </w:numPr>
        <w:spacing w:line="240" w:lineRule="auto"/>
        <w:contextualSpacing w:val="0"/>
      </w:pPr>
      <w:r>
        <w:t>Details of any dependents.</w:t>
      </w:r>
    </w:p>
    <w:p w14:paraId="50EAC680" w14:textId="77777777" w:rsidR="0054533D" w:rsidRDefault="0054533D" w:rsidP="00AD4D55">
      <w:pPr>
        <w:rPr>
          <w:noProof/>
        </w:rPr>
      </w:pPr>
      <w:r w:rsidRPr="47810538">
        <w:rPr>
          <w:noProof/>
        </w:rPr>
        <w:t>The amount of information requested will depend on the type and level of support being requested and individual circumstances. Lower levels of information will be required for payment plans versus waivers or where evidence of hardship is proven through receipt of support for other layers of Government.</w:t>
      </w:r>
    </w:p>
    <w:p w14:paraId="72A893DE" w14:textId="77777777" w:rsidR="00E64331" w:rsidRDefault="00E64331" w:rsidP="00AD4D55">
      <w:pPr>
        <w:rPr>
          <w:noProof/>
        </w:rPr>
      </w:pPr>
    </w:p>
    <w:p w14:paraId="1005AA0D" w14:textId="5835F41F" w:rsidR="003B6581" w:rsidRPr="002842D4" w:rsidRDefault="00085F8A" w:rsidP="00095CE7">
      <w:pPr>
        <w:pStyle w:val="Heading1"/>
        <w:ind w:left="709" w:hanging="709"/>
        <w:rPr>
          <w:color w:val="1F4E79" w:themeColor="accent5" w:themeShade="80"/>
        </w:rPr>
      </w:pPr>
      <w:bookmarkStart w:id="20" w:name="_Toc207112803"/>
      <w:r w:rsidRPr="00095CE7">
        <w:t>Appeals</w:t>
      </w:r>
      <w:r w:rsidRPr="002842D4">
        <w:rPr>
          <w:color w:val="1F4E79" w:themeColor="accent5" w:themeShade="80"/>
        </w:rPr>
        <w:t xml:space="preserve"> Process</w:t>
      </w:r>
      <w:bookmarkEnd w:id="20"/>
    </w:p>
    <w:p w14:paraId="33AA41B1" w14:textId="425FA8F5" w:rsidR="00A4310B" w:rsidRDefault="00A4310B" w:rsidP="00AD4D55">
      <w:pPr>
        <w:rPr>
          <w:noProof/>
        </w:rPr>
      </w:pPr>
      <w:bookmarkStart w:id="21" w:name="_Toc136945111"/>
      <w:bookmarkStart w:id="22" w:name="_Toc171323895"/>
      <w:r w:rsidRPr="3AA28230">
        <w:rPr>
          <w:noProof/>
        </w:rPr>
        <w:t>If an applicant disagrees with the decision, they can appeal this by directing their appeal within 14 days to the Ch</w:t>
      </w:r>
      <w:r w:rsidR="00C109D3">
        <w:rPr>
          <w:noProof/>
        </w:rPr>
        <w:t>i</w:t>
      </w:r>
      <w:r w:rsidRPr="3AA28230">
        <w:rPr>
          <w:noProof/>
        </w:rPr>
        <w:t>ef Exectuvie Officer (CEO) by emailing</w:t>
      </w:r>
      <w:r>
        <w:rPr>
          <w:noProof/>
        </w:rPr>
        <w:t xml:space="preserve"> </w:t>
      </w:r>
      <w:r w:rsidRPr="3AA28230">
        <w:rPr>
          <w:noProof/>
        </w:rPr>
        <w:t>ceo</w:t>
      </w:r>
      <w:r>
        <w:rPr>
          <w:noProof/>
        </w:rPr>
        <w:t>-</w:t>
      </w:r>
      <w:r w:rsidRPr="3AA28230">
        <w:rPr>
          <w:noProof/>
        </w:rPr>
        <w:t>cityofportphillip.vic.gov.au</w:t>
      </w:r>
    </w:p>
    <w:p w14:paraId="7E4D5AAA" w14:textId="77777777" w:rsidR="00E64331" w:rsidRDefault="00E64331" w:rsidP="00AD4D55">
      <w:pPr>
        <w:rPr>
          <w:noProof/>
        </w:rPr>
      </w:pPr>
    </w:p>
    <w:p w14:paraId="5C01D7B5" w14:textId="64F13B37" w:rsidR="00A4310B" w:rsidRPr="002842D4" w:rsidRDefault="00543EC2" w:rsidP="00095CE7">
      <w:pPr>
        <w:pStyle w:val="Heading1"/>
        <w:ind w:left="709" w:hanging="709"/>
        <w:rPr>
          <w:color w:val="1F4E79" w:themeColor="accent5" w:themeShade="80"/>
        </w:rPr>
      </w:pPr>
      <w:bookmarkStart w:id="23" w:name="_Toc207112804"/>
      <w:r w:rsidRPr="00095CE7">
        <w:lastRenderedPageBreak/>
        <w:t>Recovery</w:t>
      </w:r>
      <w:r w:rsidRPr="002842D4">
        <w:rPr>
          <w:color w:val="1F4E79" w:themeColor="accent5" w:themeShade="80"/>
        </w:rPr>
        <w:t xml:space="preserve"> of Rates and Charges</w:t>
      </w:r>
      <w:bookmarkEnd w:id="23"/>
    </w:p>
    <w:p w14:paraId="5C947C72" w14:textId="1B3E1174" w:rsidR="003119FC" w:rsidRPr="00AD4D55" w:rsidRDefault="003119FC" w:rsidP="00AD4D55">
      <w:pPr>
        <w:rPr>
          <w:noProof/>
        </w:rPr>
      </w:pPr>
      <w:r w:rsidRPr="00AD4D55">
        <w:rPr>
          <w:noProof/>
        </w:rPr>
        <w:t>Where a council has informed a ratepayer of unpaid rates and charges and the options available, and a payment plan, deferral or waiver is not agreed upon, the council may recover the amount owing in the Magistrates’ Court or by suing for debt.</w:t>
      </w:r>
    </w:p>
    <w:p w14:paraId="6B446BF2" w14:textId="5E3394E3" w:rsidR="00A4310B" w:rsidRDefault="003119FC" w:rsidP="00AD4D55">
      <w:pPr>
        <w:rPr>
          <w:noProof/>
        </w:rPr>
      </w:pPr>
      <w:r w:rsidRPr="00AD4D55">
        <w:rPr>
          <w:noProof/>
        </w:rPr>
        <w:t>In the event that Council’s judgement debt remains outstanding Council may seek the sale of land to meet payment of the outstanding debt. Approval from Council will be sought prior to commencement of this process in accordance with the sale of land policy.</w:t>
      </w:r>
    </w:p>
    <w:p w14:paraId="69319C09" w14:textId="77777777" w:rsidR="00E64331" w:rsidRDefault="00E64331" w:rsidP="00AD4D55">
      <w:pPr>
        <w:rPr>
          <w:noProof/>
        </w:rPr>
      </w:pPr>
    </w:p>
    <w:p w14:paraId="60229B70" w14:textId="2E574232" w:rsidR="0031307F" w:rsidRPr="007B317B" w:rsidRDefault="00090F95" w:rsidP="009E59D9">
      <w:pPr>
        <w:pStyle w:val="Heading1"/>
      </w:pPr>
      <w:bookmarkStart w:id="24" w:name="_Toc207112805"/>
      <w:bookmarkEnd w:id="21"/>
      <w:bookmarkEnd w:id="22"/>
      <w:r w:rsidRPr="007B317B">
        <w:t xml:space="preserve">Related </w:t>
      </w:r>
      <w:r w:rsidRPr="00992852">
        <w:t>legislation</w:t>
      </w:r>
      <w:r w:rsidRPr="007B317B">
        <w:t xml:space="preserve"> and documents</w:t>
      </w:r>
      <w:bookmarkEnd w:id="24"/>
    </w:p>
    <w:p w14:paraId="224DD0C9" w14:textId="77777777" w:rsidR="001D51DF" w:rsidRPr="00D5690C" w:rsidRDefault="001D51DF" w:rsidP="001D51DF">
      <w:pPr>
        <w:autoSpaceDE w:val="0"/>
        <w:autoSpaceDN w:val="0"/>
        <w:adjustRightInd w:val="0"/>
        <w:spacing w:after="0" w:line="240" w:lineRule="auto"/>
        <w:rPr>
          <w:rFonts w:eastAsiaTheme="minorEastAsia"/>
          <w:color w:val="000000"/>
        </w:rPr>
      </w:pPr>
      <w:r w:rsidRPr="22F32D0C">
        <w:rPr>
          <w:rFonts w:eastAsiaTheme="minorEastAsia"/>
        </w:rPr>
        <w:t xml:space="preserve">Council is empowered to defer or waive rates, charges and interest based on the following legislative provisions of the </w:t>
      </w:r>
      <w:r w:rsidRPr="22F32D0C">
        <w:rPr>
          <w:rFonts w:eastAsiaTheme="minorEastAsia"/>
          <w:i/>
          <w:iCs/>
        </w:rPr>
        <w:t xml:space="preserve">Local Government Act </w:t>
      </w:r>
      <w:r>
        <w:rPr>
          <w:rFonts w:eastAsiaTheme="minorEastAsia"/>
          <w:i/>
          <w:iCs/>
        </w:rPr>
        <w:t>1989</w:t>
      </w:r>
      <w:r w:rsidRPr="22F32D0C">
        <w:rPr>
          <w:rFonts w:eastAsiaTheme="minorEastAsia"/>
          <w:i/>
          <w:iCs/>
        </w:rPr>
        <w:t>.</w:t>
      </w:r>
    </w:p>
    <w:p w14:paraId="1E4F8557" w14:textId="77777777" w:rsidR="001D51DF" w:rsidRDefault="001D51DF" w:rsidP="00B34BC0">
      <w:pPr>
        <w:autoSpaceDE w:val="0"/>
        <w:autoSpaceDN w:val="0"/>
        <w:adjustRightInd w:val="0"/>
        <w:spacing w:after="0" w:line="240" w:lineRule="auto"/>
        <w:jc w:val="both"/>
        <w:rPr>
          <w:color w:val="000000"/>
          <w:sz w:val="20"/>
          <w:szCs w:val="20"/>
        </w:rPr>
      </w:pPr>
    </w:p>
    <w:p w14:paraId="302F723F" w14:textId="77777777" w:rsidR="00B34BC0" w:rsidRPr="00D5690C" w:rsidRDefault="00B34BC0" w:rsidP="00B34BC0">
      <w:pPr>
        <w:autoSpaceDE w:val="0"/>
        <w:autoSpaceDN w:val="0"/>
        <w:adjustRightInd w:val="0"/>
        <w:spacing w:after="0" w:line="240" w:lineRule="auto"/>
        <w:jc w:val="both"/>
        <w:rPr>
          <w:color w:val="000000"/>
          <w:sz w:val="20"/>
          <w:szCs w:val="20"/>
        </w:rPr>
      </w:pPr>
    </w:p>
    <w:p w14:paraId="6BBB17AB" w14:textId="77777777" w:rsidR="001D51DF" w:rsidRPr="00D5690C" w:rsidRDefault="001D51DF" w:rsidP="001D51DF">
      <w:pPr>
        <w:autoSpaceDE w:val="0"/>
        <w:autoSpaceDN w:val="0"/>
        <w:adjustRightInd w:val="0"/>
        <w:spacing w:after="0" w:line="240" w:lineRule="auto"/>
        <w:rPr>
          <w:b/>
          <w:bCs/>
          <w:sz w:val="28"/>
          <w:szCs w:val="28"/>
        </w:rPr>
      </w:pPr>
      <w:r w:rsidRPr="00C527EC">
        <w:rPr>
          <w:b/>
          <w:bCs/>
          <w:sz w:val="28"/>
          <w:szCs w:val="28"/>
        </w:rPr>
        <w:t>Section 170 (Deferred Payment)</w:t>
      </w:r>
      <w:r w:rsidRPr="22F32D0C">
        <w:rPr>
          <w:b/>
          <w:bCs/>
          <w:sz w:val="28"/>
          <w:szCs w:val="28"/>
        </w:rPr>
        <w:t xml:space="preserve"> </w:t>
      </w:r>
    </w:p>
    <w:p w14:paraId="0387FCC0" w14:textId="77777777" w:rsidR="001D51DF" w:rsidRPr="00D5690C" w:rsidRDefault="001D51DF" w:rsidP="001D51DF">
      <w:pPr>
        <w:autoSpaceDE w:val="0"/>
        <w:autoSpaceDN w:val="0"/>
        <w:adjustRightInd w:val="0"/>
        <w:spacing w:after="0" w:line="240" w:lineRule="auto"/>
        <w:rPr>
          <w:color w:val="000000"/>
        </w:rPr>
      </w:pPr>
    </w:p>
    <w:p w14:paraId="12F80E85" w14:textId="77777777" w:rsidR="001D51DF" w:rsidRPr="00D5690C" w:rsidRDefault="001D51DF" w:rsidP="001D51DF">
      <w:pPr>
        <w:autoSpaceDE w:val="0"/>
        <w:autoSpaceDN w:val="0"/>
        <w:adjustRightInd w:val="0"/>
        <w:spacing w:after="0" w:line="240" w:lineRule="auto"/>
        <w:jc w:val="both"/>
        <w:rPr>
          <w:color w:val="000000"/>
          <w:sz w:val="20"/>
          <w:szCs w:val="20"/>
        </w:rPr>
      </w:pPr>
      <w:r w:rsidRPr="00D5690C">
        <w:rPr>
          <w:i/>
          <w:iCs/>
          <w:color w:val="000000"/>
          <w:sz w:val="20"/>
          <w:szCs w:val="20"/>
        </w:rPr>
        <w:t xml:space="preserve">“A Council may defer in whole or in part the payment by a person of any rate or charge which is due and payable for a specified period and subject to any conditions determined by the Council if it considers that an application by that person shows that the payment would cause hardship to the person.” </w:t>
      </w:r>
    </w:p>
    <w:p w14:paraId="5151C3B4" w14:textId="77777777" w:rsidR="001D51DF" w:rsidRPr="00D5690C" w:rsidRDefault="001D51DF" w:rsidP="003857F0">
      <w:pPr>
        <w:numPr>
          <w:ilvl w:val="1"/>
          <w:numId w:val="13"/>
        </w:numPr>
        <w:autoSpaceDE w:val="0"/>
        <w:autoSpaceDN w:val="0"/>
        <w:adjustRightInd w:val="0"/>
        <w:spacing w:after="0" w:line="240" w:lineRule="auto"/>
        <w:ind w:left="1440" w:hanging="360"/>
        <w:jc w:val="both"/>
        <w:rPr>
          <w:color w:val="000000"/>
          <w:sz w:val="20"/>
          <w:szCs w:val="20"/>
        </w:rPr>
      </w:pPr>
    </w:p>
    <w:p w14:paraId="48CDC3DB" w14:textId="77777777" w:rsidR="001D51DF" w:rsidRPr="00D5690C" w:rsidRDefault="001D51DF" w:rsidP="001D51DF">
      <w:pPr>
        <w:autoSpaceDE w:val="0"/>
        <w:autoSpaceDN w:val="0"/>
        <w:adjustRightInd w:val="0"/>
        <w:spacing w:after="0" w:line="240" w:lineRule="auto"/>
        <w:rPr>
          <w:b/>
          <w:bCs/>
          <w:sz w:val="28"/>
          <w:szCs w:val="28"/>
        </w:rPr>
      </w:pPr>
      <w:r w:rsidRPr="00C527EC">
        <w:rPr>
          <w:b/>
          <w:bCs/>
          <w:sz w:val="28"/>
          <w:szCs w:val="28"/>
        </w:rPr>
        <w:t>Section 171/171A (Waiver)</w:t>
      </w:r>
      <w:r w:rsidRPr="22F32D0C">
        <w:rPr>
          <w:b/>
          <w:bCs/>
          <w:sz w:val="28"/>
          <w:szCs w:val="28"/>
        </w:rPr>
        <w:t xml:space="preserve"> </w:t>
      </w:r>
    </w:p>
    <w:p w14:paraId="18DF7EE1" w14:textId="77777777" w:rsidR="001D51DF" w:rsidRPr="00D5690C" w:rsidRDefault="001D51DF" w:rsidP="001D51DF">
      <w:pPr>
        <w:autoSpaceDE w:val="0"/>
        <w:autoSpaceDN w:val="0"/>
        <w:adjustRightInd w:val="0"/>
        <w:spacing w:after="0" w:line="240" w:lineRule="auto"/>
        <w:rPr>
          <w:color w:val="000000"/>
        </w:rPr>
      </w:pPr>
    </w:p>
    <w:p w14:paraId="51133ACE" w14:textId="77777777" w:rsidR="001D51DF" w:rsidRDefault="001D51DF" w:rsidP="001D51DF">
      <w:pPr>
        <w:rPr>
          <w:i/>
          <w:iCs/>
          <w:color w:val="000000"/>
          <w:sz w:val="20"/>
          <w:szCs w:val="20"/>
        </w:rPr>
      </w:pPr>
      <w:r w:rsidRPr="00D5690C">
        <w:rPr>
          <w:i/>
          <w:iCs/>
          <w:color w:val="000000"/>
          <w:sz w:val="20"/>
          <w:szCs w:val="20"/>
        </w:rPr>
        <w:t xml:space="preserve">"Council may waive the whole or part of any rate or charge or interest in relation to </w:t>
      </w:r>
    </w:p>
    <w:p w14:paraId="69C3CC19" w14:textId="77777777" w:rsidR="001D51DF" w:rsidRPr="00B80774" w:rsidRDefault="001D51DF" w:rsidP="003857F0">
      <w:pPr>
        <w:pStyle w:val="ListParagraph"/>
        <w:numPr>
          <w:ilvl w:val="0"/>
          <w:numId w:val="14"/>
        </w:numPr>
        <w:jc w:val="left"/>
        <w:rPr>
          <w:i/>
          <w:iCs/>
          <w:color w:val="000000"/>
          <w:sz w:val="20"/>
          <w:szCs w:val="20"/>
        </w:rPr>
      </w:pPr>
      <w:r w:rsidRPr="00B80774">
        <w:rPr>
          <w:i/>
          <w:iCs/>
          <w:color w:val="000000"/>
          <w:sz w:val="20"/>
          <w:szCs w:val="20"/>
        </w:rPr>
        <w:t>an eligible recipient under subsection (4)</w:t>
      </w:r>
    </w:p>
    <w:p w14:paraId="1779BE11" w14:textId="77777777" w:rsidR="001D51DF" w:rsidRPr="00B80774" w:rsidRDefault="001D51DF" w:rsidP="003857F0">
      <w:pPr>
        <w:pStyle w:val="ListParagraph"/>
        <w:numPr>
          <w:ilvl w:val="0"/>
          <w:numId w:val="14"/>
        </w:numPr>
        <w:jc w:val="left"/>
        <w:rPr>
          <w:i/>
          <w:iCs/>
          <w:color w:val="000000"/>
          <w:sz w:val="20"/>
          <w:szCs w:val="20"/>
        </w:rPr>
      </w:pPr>
      <w:r w:rsidRPr="00B80774">
        <w:rPr>
          <w:i/>
          <w:iCs/>
          <w:color w:val="000000"/>
          <w:sz w:val="20"/>
          <w:szCs w:val="20"/>
        </w:rPr>
        <w:t xml:space="preserve">any other class of persons determined by Council for the purpose of waiving rates or charges on the grounds of financial hardship." </w:t>
      </w:r>
    </w:p>
    <w:p w14:paraId="347D43A1" w14:textId="77777777" w:rsidR="001D51DF" w:rsidRPr="00D5690C" w:rsidRDefault="001D51DF" w:rsidP="001D51DF">
      <w:pPr>
        <w:autoSpaceDE w:val="0"/>
        <w:autoSpaceDN w:val="0"/>
        <w:adjustRightInd w:val="0"/>
        <w:spacing w:after="0" w:line="240" w:lineRule="auto"/>
        <w:rPr>
          <w:b/>
          <w:bCs/>
          <w:sz w:val="28"/>
          <w:szCs w:val="28"/>
        </w:rPr>
      </w:pPr>
      <w:r w:rsidRPr="00C527EC">
        <w:rPr>
          <w:b/>
          <w:bCs/>
          <w:sz w:val="28"/>
          <w:szCs w:val="28"/>
        </w:rPr>
        <w:t>Section 171</w:t>
      </w:r>
      <w:r>
        <w:rPr>
          <w:b/>
          <w:bCs/>
          <w:sz w:val="28"/>
          <w:szCs w:val="28"/>
        </w:rPr>
        <w:t>B</w:t>
      </w:r>
      <w:r w:rsidRPr="00C527EC">
        <w:rPr>
          <w:b/>
          <w:bCs/>
          <w:sz w:val="28"/>
          <w:szCs w:val="28"/>
        </w:rPr>
        <w:t xml:space="preserve"> (</w:t>
      </w:r>
      <w:r w:rsidRPr="00CC3024">
        <w:rPr>
          <w:b/>
          <w:bCs/>
          <w:sz w:val="28"/>
          <w:szCs w:val="28"/>
        </w:rPr>
        <w:t>Payment plans for unpaid rates or charges</w:t>
      </w:r>
      <w:r w:rsidRPr="00C527EC">
        <w:rPr>
          <w:b/>
          <w:bCs/>
          <w:sz w:val="28"/>
          <w:szCs w:val="28"/>
        </w:rPr>
        <w:t>)</w:t>
      </w:r>
      <w:r w:rsidRPr="22F32D0C">
        <w:rPr>
          <w:b/>
          <w:bCs/>
          <w:sz w:val="28"/>
          <w:szCs w:val="28"/>
        </w:rPr>
        <w:t xml:space="preserve"> </w:t>
      </w:r>
    </w:p>
    <w:p w14:paraId="44984CD5" w14:textId="77777777" w:rsidR="001D51DF" w:rsidRPr="00D5690C" w:rsidRDefault="001D51DF" w:rsidP="001D51DF">
      <w:pPr>
        <w:autoSpaceDE w:val="0"/>
        <w:autoSpaceDN w:val="0"/>
        <w:adjustRightInd w:val="0"/>
        <w:spacing w:after="0" w:line="240" w:lineRule="auto"/>
        <w:rPr>
          <w:color w:val="000000"/>
        </w:rPr>
      </w:pPr>
    </w:p>
    <w:p w14:paraId="21C85CF3" w14:textId="77777777" w:rsidR="001D51DF" w:rsidRPr="00D5690C" w:rsidRDefault="001D51DF" w:rsidP="001D51DF">
      <w:pPr>
        <w:rPr>
          <w:i/>
          <w:iCs/>
          <w:color w:val="000000"/>
          <w:sz w:val="20"/>
          <w:szCs w:val="20"/>
        </w:rPr>
      </w:pPr>
      <w:r w:rsidRPr="00D5690C">
        <w:rPr>
          <w:i/>
          <w:iCs/>
          <w:color w:val="000000"/>
          <w:sz w:val="20"/>
          <w:szCs w:val="20"/>
        </w:rPr>
        <w:t>"</w:t>
      </w:r>
      <w:r w:rsidRPr="000C3BA2">
        <w:t xml:space="preserve"> </w:t>
      </w:r>
      <w:r w:rsidRPr="000C3BA2">
        <w:rPr>
          <w:i/>
          <w:iCs/>
          <w:color w:val="000000"/>
          <w:sz w:val="20"/>
          <w:szCs w:val="20"/>
        </w:rPr>
        <w:t>Council may enter into a plan with the person for the payment of a rate or charge (including interest charged under section 172</w:t>
      </w:r>
      <w:r w:rsidRPr="00D5690C">
        <w:rPr>
          <w:i/>
          <w:iCs/>
          <w:color w:val="000000"/>
          <w:sz w:val="20"/>
          <w:szCs w:val="20"/>
        </w:rPr>
        <w:t xml:space="preserve">." </w:t>
      </w:r>
    </w:p>
    <w:p w14:paraId="1EA29A64" w14:textId="77777777" w:rsidR="001D51DF" w:rsidRDefault="001D51DF" w:rsidP="001D51DF">
      <w:pPr>
        <w:rPr>
          <w:i/>
          <w:iCs/>
          <w:color w:val="000000"/>
        </w:rPr>
      </w:pPr>
    </w:p>
    <w:p w14:paraId="5F09A613" w14:textId="77777777" w:rsidR="001D51DF" w:rsidRPr="00D5690C" w:rsidRDefault="001D51DF" w:rsidP="001D51DF">
      <w:pPr>
        <w:autoSpaceDE w:val="0"/>
        <w:autoSpaceDN w:val="0"/>
        <w:adjustRightInd w:val="0"/>
        <w:spacing w:after="0" w:line="240" w:lineRule="auto"/>
        <w:rPr>
          <w:b/>
          <w:bCs/>
          <w:sz w:val="28"/>
          <w:szCs w:val="28"/>
        </w:rPr>
      </w:pPr>
      <w:r>
        <w:rPr>
          <w:b/>
          <w:bCs/>
          <w:sz w:val="28"/>
          <w:szCs w:val="28"/>
        </w:rPr>
        <w:t>Other Relevant Regulation/Legislation/Documents</w:t>
      </w:r>
    </w:p>
    <w:p w14:paraId="10350624" w14:textId="77777777" w:rsidR="001D51DF" w:rsidRDefault="001D51DF" w:rsidP="001D51D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1D51DF" w:rsidRPr="004E4BE2" w14:paraId="01DB3DEA" w14:textId="77777777" w:rsidTr="00FC23DB">
        <w:tc>
          <w:tcPr>
            <w:tcW w:w="4743" w:type="dxa"/>
          </w:tcPr>
          <w:p w14:paraId="5D394162" w14:textId="0FF026E3" w:rsidR="001D51DF" w:rsidRPr="004E4BE2" w:rsidRDefault="001D51DF" w:rsidP="00FC23DB">
            <w:pPr>
              <w:pStyle w:val="NormalBullets"/>
              <w:numPr>
                <w:ilvl w:val="0"/>
                <w:numId w:val="0"/>
              </w:numPr>
              <w:rPr>
                <w:i/>
                <w:iCs/>
              </w:rPr>
            </w:pPr>
            <w:r w:rsidRPr="004E4BE2">
              <w:rPr>
                <w:i/>
                <w:iCs/>
              </w:rPr>
              <w:t>Council Plan &amp; Budget</w:t>
            </w:r>
            <w:r>
              <w:rPr>
                <w:i/>
                <w:iCs/>
              </w:rPr>
              <w:t xml:space="preserve"> 202</w:t>
            </w:r>
            <w:r w:rsidR="00275E86">
              <w:rPr>
                <w:i/>
                <w:iCs/>
              </w:rPr>
              <w:t>5</w:t>
            </w:r>
            <w:r>
              <w:rPr>
                <w:i/>
                <w:iCs/>
              </w:rPr>
              <w:t>-3</w:t>
            </w:r>
            <w:r w:rsidR="00275E86">
              <w:rPr>
                <w:i/>
                <w:iCs/>
              </w:rPr>
              <w:t>5</w:t>
            </w:r>
          </w:p>
        </w:tc>
        <w:tc>
          <w:tcPr>
            <w:tcW w:w="4743" w:type="dxa"/>
          </w:tcPr>
          <w:p w14:paraId="788E302E" w14:textId="77777777" w:rsidR="001D51DF" w:rsidRPr="004E4BE2" w:rsidRDefault="001D51DF" w:rsidP="00FC23DB">
            <w:pPr>
              <w:pStyle w:val="NormalBullets"/>
              <w:numPr>
                <w:ilvl w:val="0"/>
                <w:numId w:val="0"/>
              </w:numPr>
              <w:rPr>
                <w:i/>
                <w:iCs/>
              </w:rPr>
            </w:pPr>
            <w:r w:rsidRPr="004E4BE2">
              <w:rPr>
                <w:i/>
                <w:iCs/>
              </w:rPr>
              <w:t xml:space="preserve">Council Rating Strategy </w:t>
            </w:r>
          </w:p>
        </w:tc>
      </w:tr>
      <w:tr w:rsidR="001D51DF" w:rsidRPr="004E4BE2" w14:paraId="3A269CED" w14:textId="77777777" w:rsidTr="00FC23DB">
        <w:tc>
          <w:tcPr>
            <w:tcW w:w="4743" w:type="dxa"/>
          </w:tcPr>
          <w:p w14:paraId="52E2EE62" w14:textId="77777777" w:rsidR="001D51DF" w:rsidRPr="004E4BE2" w:rsidRDefault="001D51DF" w:rsidP="00FC23DB">
            <w:pPr>
              <w:pStyle w:val="NormalBullets"/>
              <w:numPr>
                <w:ilvl w:val="0"/>
                <w:numId w:val="0"/>
              </w:numPr>
              <w:rPr>
                <w:i/>
                <w:iCs/>
              </w:rPr>
            </w:pPr>
            <w:r w:rsidRPr="004E4BE2">
              <w:rPr>
                <w:i/>
                <w:iCs/>
              </w:rPr>
              <w:t xml:space="preserve">Local Government Act </w:t>
            </w:r>
            <w:r>
              <w:rPr>
                <w:i/>
                <w:iCs/>
              </w:rPr>
              <w:t>1989</w:t>
            </w:r>
          </w:p>
        </w:tc>
        <w:tc>
          <w:tcPr>
            <w:tcW w:w="4743" w:type="dxa"/>
          </w:tcPr>
          <w:p w14:paraId="66DFFE2B" w14:textId="77777777" w:rsidR="001D51DF" w:rsidRPr="004E4BE2" w:rsidRDefault="001D51DF" w:rsidP="00FC23DB">
            <w:pPr>
              <w:pStyle w:val="NormalBullets"/>
              <w:numPr>
                <w:ilvl w:val="0"/>
                <w:numId w:val="0"/>
              </w:numPr>
              <w:rPr>
                <w:i/>
                <w:iCs/>
              </w:rPr>
            </w:pPr>
            <w:r w:rsidRPr="004E4BE2">
              <w:rPr>
                <w:i/>
                <w:iCs/>
              </w:rPr>
              <w:t xml:space="preserve">Valuation of Land Act 1960 </w:t>
            </w:r>
          </w:p>
        </w:tc>
      </w:tr>
      <w:tr w:rsidR="001D51DF" w:rsidRPr="004E4BE2" w14:paraId="7F703213" w14:textId="77777777" w:rsidTr="00FC23DB">
        <w:trPr>
          <w:trHeight w:val="958"/>
        </w:trPr>
        <w:tc>
          <w:tcPr>
            <w:tcW w:w="4743" w:type="dxa"/>
          </w:tcPr>
          <w:p w14:paraId="765EF9C0" w14:textId="77777777" w:rsidR="001D51DF" w:rsidRPr="004E4BE2" w:rsidRDefault="001D51DF" w:rsidP="00FC23DB">
            <w:pPr>
              <w:pStyle w:val="NormalBullets"/>
              <w:numPr>
                <w:ilvl w:val="0"/>
                <w:numId w:val="0"/>
              </w:numPr>
              <w:rPr>
                <w:i/>
                <w:iCs/>
              </w:rPr>
            </w:pPr>
            <w:r w:rsidRPr="00B31DAA">
              <w:rPr>
                <w:i/>
                <w:iCs/>
              </w:rPr>
              <w:t>Local Government Legislation Amendment (Rating and Other Matters) Bill 2022</w:t>
            </w:r>
          </w:p>
        </w:tc>
        <w:tc>
          <w:tcPr>
            <w:tcW w:w="4743" w:type="dxa"/>
          </w:tcPr>
          <w:p w14:paraId="34A029CB" w14:textId="7C97884E" w:rsidR="001D51DF" w:rsidRPr="004E4BE2" w:rsidRDefault="000D1B19" w:rsidP="00FC23DB">
            <w:pPr>
              <w:pStyle w:val="NormalBullets"/>
              <w:numPr>
                <w:ilvl w:val="0"/>
                <w:numId w:val="0"/>
              </w:numPr>
              <w:rPr>
                <w:i/>
                <w:iCs/>
              </w:rPr>
            </w:pPr>
            <w:r>
              <w:rPr>
                <w:i/>
                <w:iCs/>
              </w:rPr>
              <w:t xml:space="preserve">Emergency </w:t>
            </w:r>
            <w:r w:rsidR="001D51DF" w:rsidRPr="004E4BE2">
              <w:rPr>
                <w:i/>
                <w:iCs/>
              </w:rPr>
              <w:t xml:space="preserve">Services </w:t>
            </w:r>
            <w:r w:rsidR="001D6AB3">
              <w:rPr>
                <w:i/>
                <w:iCs/>
              </w:rPr>
              <w:t>and Volunteers Fund</w:t>
            </w:r>
            <w:r w:rsidR="001D51DF" w:rsidRPr="004E4BE2">
              <w:rPr>
                <w:i/>
                <w:iCs/>
              </w:rPr>
              <w:t xml:space="preserve"> Act 2012 </w:t>
            </w:r>
          </w:p>
        </w:tc>
      </w:tr>
      <w:tr w:rsidR="001D51DF" w:rsidRPr="004E4BE2" w14:paraId="601A548C" w14:textId="77777777" w:rsidTr="00FC23DB">
        <w:tc>
          <w:tcPr>
            <w:tcW w:w="4743" w:type="dxa"/>
          </w:tcPr>
          <w:p w14:paraId="0E3E013C" w14:textId="77777777" w:rsidR="001D51DF" w:rsidRPr="004E4BE2" w:rsidRDefault="001D51DF" w:rsidP="00FC23DB">
            <w:pPr>
              <w:pStyle w:val="NormalBullets"/>
              <w:numPr>
                <w:ilvl w:val="0"/>
                <w:numId w:val="0"/>
              </w:numPr>
              <w:rPr>
                <w:i/>
                <w:iCs/>
              </w:rPr>
            </w:pPr>
            <w:r w:rsidRPr="004E4BE2">
              <w:rPr>
                <w:i/>
                <w:iCs/>
              </w:rPr>
              <w:t>State Concessions Act 2004</w:t>
            </w:r>
          </w:p>
        </w:tc>
        <w:tc>
          <w:tcPr>
            <w:tcW w:w="4743" w:type="dxa"/>
          </w:tcPr>
          <w:p w14:paraId="7BC217DC" w14:textId="77777777" w:rsidR="001D51DF" w:rsidRPr="004E4BE2" w:rsidRDefault="001D51DF" w:rsidP="00FC23DB">
            <w:pPr>
              <w:pStyle w:val="NormalBullets"/>
              <w:numPr>
                <w:ilvl w:val="0"/>
                <w:numId w:val="0"/>
              </w:numPr>
              <w:rPr>
                <w:i/>
                <w:iCs/>
              </w:rPr>
            </w:pPr>
            <w:r w:rsidRPr="004E4BE2">
              <w:rPr>
                <w:i/>
                <w:iCs/>
              </w:rPr>
              <w:t>Privacy and Data Protection Act 2014</w:t>
            </w:r>
          </w:p>
        </w:tc>
      </w:tr>
      <w:tr w:rsidR="001D51DF" w:rsidRPr="0051237A" w14:paraId="6638A302" w14:textId="77777777" w:rsidTr="00FC23DB">
        <w:tc>
          <w:tcPr>
            <w:tcW w:w="4743" w:type="dxa"/>
          </w:tcPr>
          <w:p w14:paraId="6D2A61FD" w14:textId="77777777" w:rsidR="001D51DF" w:rsidRPr="0051237A" w:rsidRDefault="001D51DF" w:rsidP="00FC23DB">
            <w:pPr>
              <w:pStyle w:val="NormalBullets"/>
              <w:numPr>
                <w:ilvl w:val="0"/>
                <w:numId w:val="0"/>
              </w:numPr>
              <w:rPr>
                <w:i/>
                <w:iCs/>
              </w:rPr>
            </w:pPr>
            <w:r w:rsidRPr="004E4BE2">
              <w:rPr>
                <w:i/>
                <w:iCs/>
              </w:rPr>
              <w:lastRenderedPageBreak/>
              <w:t>Victorian Charter of Human Rights and Responsibilities Act 2006 (the Charter Act)</w:t>
            </w:r>
          </w:p>
        </w:tc>
        <w:tc>
          <w:tcPr>
            <w:tcW w:w="4743" w:type="dxa"/>
          </w:tcPr>
          <w:p w14:paraId="0DFE0CAB" w14:textId="77777777" w:rsidR="001D51DF" w:rsidRPr="0051237A" w:rsidRDefault="001D51DF" w:rsidP="00FC23DB">
            <w:pPr>
              <w:pStyle w:val="NormalBullets"/>
              <w:numPr>
                <w:ilvl w:val="0"/>
                <w:numId w:val="0"/>
              </w:numPr>
              <w:rPr>
                <w:i/>
                <w:iCs/>
              </w:rPr>
            </w:pPr>
            <w:r w:rsidRPr="00B838FC">
              <w:rPr>
                <w:i/>
                <w:iCs/>
              </w:rPr>
              <w:t>https://services.dffh.vic.gov.au/utility-relief-grant-scheme</w:t>
            </w:r>
          </w:p>
        </w:tc>
      </w:tr>
      <w:tr w:rsidR="001D51DF" w:rsidRPr="0051237A" w14:paraId="5B7E8F86" w14:textId="77777777" w:rsidTr="00FC23DB">
        <w:tc>
          <w:tcPr>
            <w:tcW w:w="4743" w:type="dxa"/>
          </w:tcPr>
          <w:p w14:paraId="25D267FC" w14:textId="77777777" w:rsidR="001D51DF" w:rsidRPr="004E4BE2" w:rsidRDefault="001D51DF" w:rsidP="00FC23DB">
            <w:pPr>
              <w:pStyle w:val="NormalBullets"/>
              <w:numPr>
                <w:ilvl w:val="0"/>
                <w:numId w:val="0"/>
              </w:numPr>
              <w:rPr>
                <w:i/>
                <w:iCs/>
              </w:rPr>
            </w:pPr>
            <w:r w:rsidRPr="003C2E9D">
              <w:rPr>
                <w:i/>
                <w:iCs/>
              </w:rPr>
              <w:t>https://www.ombudsman.vic.gov.au/our-impact/news/ombudsman-urges-greater-protection-for-ratepayers-in-financial-hardship/</w:t>
            </w:r>
          </w:p>
        </w:tc>
        <w:tc>
          <w:tcPr>
            <w:tcW w:w="4743" w:type="dxa"/>
          </w:tcPr>
          <w:p w14:paraId="13EBE360" w14:textId="77777777" w:rsidR="001D51DF" w:rsidRPr="00B838FC" w:rsidRDefault="001D51DF" w:rsidP="00FC23DB">
            <w:pPr>
              <w:pStyle w:val="NormalBullets"/>
              <w:numPr>
                <w:ilvl w:val="0"/>
                <w:numId w:val="0"/>
              </w:numPr>
              <w:rPr>
                <w:i/>
                <w:iCs/>
              </w:rPr>
            </w:pPr>
            <w:r>
              <w:rPr>
                <w:rFonts w:ascii="Helvetica" w:eastAsia="Times New Roman" w:hAnsi="Helvetica"/>
                <w:color w:val="202020"/>
                <w:sz w:val="24"/>
                <w:szCs w:val="24"/>
              </w:rPr>
              <w:br/>
            </w:r>
          </w:p>
        </w:tc>
      </w:tr>
    </w:tbl>
    <w:p w14:paraId="0B35997C" w14:textId="77777777" w:rsidR="001D51DF" w:rsidRDefault="001D51DF" w:rsidP="00B57A19">
      <w:pPr>
        <w:jc w:val="both"/>
      </w:pPr>
    </w:p>
    <w:p w14:paraId="668AA5E7" w14:textId="2CAB86AE" w:rsidR="00090F95" w:rsidRPr="00E67C2C" w:rsidRDefault="00090F95" w:rsidP="000F7F8C">
      <w:pPr>
        <w:keepNext/>
        <w:keepLines/>
        <w:rPr>
          <w:rFonts w:cs="Arial"/>
          <w:u w:val="single"/>
        </w:rPr>
      </w:pPr>
      <w:r w:rsidRPr="00E67C2C">
        <w:rPr>
          <w:rFonts w:cs="Arial"/>
          <w:u w:val="single"/>
        </w:rPr>
        <w:t>Child Safe</w:t>
      </w:r>
    </w:p>
    <w:p w14:paraId="700B7C89" w14:textId="65037C9C" w:rsidR="00090F95" w:rsidRPr="00E67C2C" w:rsidRDefault="00090F95" w:rsidP="000F7F8C">
      <w:pPr>
        <w:keepNext/>
        <w:keepLines/>
        <w:rPr>
          <w:rFonts w:cs="Arial"/>
        </w:rPr>
      </w:pPr>
      <w:r w:rsidRPr="00E67C2C">
        <w:rPr>
          <w:rFonts w:cs="Arial"/>
        </w:rPr>
        <w:t xml:space="preserve">The City of Port Phillip is a Child Safe </w:t>
      </w:r>
      <w:r w:rsidR="00173D6D" w:rsidRPr="00E67C2C">
        <w:rPr>
          <w:rFonts w:cs="Arial"/>
        </w:rPr>
        <w:t>O</w:t>
      </w:r>
      <w:r w:rsidRPr="00E67C2C">
        <w:rPr>
          <w:rFonts w:cs="Arial"/>
        </w:rPr>
        <w:t xml:space="preserve">rganisation and has a legal and moral responsibility to understand and activate their role in preventing, detecting, responding and reporting any Child Safety concerns.  Council has zero tolerance for child abuse and is actively committed to embedding a culture of safety, wellbeing and inclusion for children and young people. </w:t>
      </w:r>
    </w:p>
    <w:p w14:paraId="03B58A03" w14:textId="5E09A64A" w:rsidR="00090F95" w:rsidRPr="00E67C2C" w:rsidRDefault="00090F95" w:rsidP="00090F95">
      <w:pPr>
        <w:rPr>
          <w:rFonts w:cs="Arial"/>
        </w:rPr>
      </w:pPr>
      <w:r w:rsidRPr="00E67C2C">
        <w:rPr>
          <w:rFonts w:cs="Arial"/>
        </w:rPr>
        <w:t>Consideration has been given to the Child Safe Standards in the development of this policy.</w:t>
      </w:r>
    </w:p>
    <w:p w14:paraId="162C2966" w14:textId="376AB737" w:rsidR="00F763A6" w:rsidRDefault="00E67C2C" w:rsidP="00224408">
      <w:pPr>
        <w:jc w:val="both"/>
      </w:pPr>
      <w:r w:rsidRPr="00E67C2C">
        <w:t>In the case of this policy, Child Safe is not applicable.</w:t>
      </w:r>
    </w:p>
    <w:p w14:paraId="28553B86" w14:textId="77777777" w:rsidR="00B34BC0" w:rsidRPr="00E67C2C" w:rsidRDefault="00B34BC0" w:rsidP="00224408">
      <w:pPr>
        <w:jc w:val="both"/>
      </w:pPr>
    </w:p>
    <w:p w14:paraId="5387163D" w14:textId="77777777" w:rsidR="00680ACB" w:rsidRPr="00E67C2C" w:rsidRDefault="00680ACB" w:rsidP="00680ACB">
      <w:pPr>
        <w:rPr>
          <w:rFonts w:cs="Arial"/>
          <w:u w:val="single"/>
        </w:rPr>
      </w:pPr>
      <w:r w:rsidRPr="00E67C2C">
        <w:rPr>
          <w:rFonts w:cs="Arial"/>
          <w:u w:val="single"/>
        </w:rPr>
        <w:t>Gender Equality</w:t>
      </w:r>
    </w:p>
    <w:p w14:paraId="006D0D63" w14:textId="77777777" w:rsidR="00680ACB" w:rsidRPr="00B637A8" w:rsidRDefault="00680ACB" w:rsidP="00680ACB">
      <w:pPr>
        <w:rPr>
          <w:rFonts w:cs="Arial"/>
        </w:rPr>
      </w:pPr>
      <w:r w:rsidRPr="00B637A8">
        <w:rPr>
          <w:rFonts w:cs="Arial"/>
        </w:rPr>
        <w:t xml:space="preserve">Under the </w:t>
      </w:r>
      <w:r w:rsidRPr="00B637A8">
        <w:rPr>
          <w:rFonts w:cs="Arial"/>
          <w:i/>
          <w:iCs/>
        </w:rPr>
        <w:t>Gender Equality Act 2020</w:t>
      </w:r>
      <w:r w:rsidRPr="00B637A8">
        <w:rPr>
          <w:rFonts w:cs="Arial"/>
        </w:rPr>
        <w:t xml:space="preserve">, Council has a positive duty to advance gender equality in our organisation and our community. This includes assessing the impacts of Council’s policies on people of different genders, backgrounds and identities, and considering how a policy that directly and significantly impacts the community can </w:t>
      </w:r>
      <w:r w:rsidRPr="00B637A8">
        <w:rPr>
          <w:rFonts w:cs="Arial"/>
          <w:color w:val="1A1A1A"/>
          <w:spacing w:val="5"/>
          <w:shd w:val="clear" w:color="auto" w:fill="FFFFFF"/>
        </w:rPr>
        <w:t xml:space="preserve">be changed to better support people of all genders and promote gender equality. </w:t>
      </w:r>
    </w:p>
    <w:p w14:paraId="393A5782" w14:textId="77777777" w:rsidR="00680ACB" w:rsidRPr="00C94336" w:rsidRDefault="00680ACB" w:rsidP="00680ACB">
      <w:pPr>
        <w:rPr>
          <w:rFonts w:cs="Arial"/>
        </w:rPr>
      </w:pPr>
      <w:r w:rsidRPr="00C94336">
        <w:rPr>
          <w:rFonts w:cs="Arial"/>
        </w:rPr>
        <w:t>In the case of this policy, a gender impact assessment was not required.</w:t>
      </w:r>
    </w:p>
    <w:p w14:paraId="153AD313" w14:textId="77777777" w:rsidR="009E7ED9" w:rsidRDefault="009E7ED9">
      <w:pPr>
        <w:rPr>
          <w:rFonts w:eastAsiaTheme="majorEastAsia" w:cs="Arial"/>
          <w:color w:val="196BAC"/>
          <w:sz w:val="40"/>
          <w:szCs w:val="40"/>
        </w:rPr>
      </w:pPr>
      <w:bookmarkStart w:id="25" w:name="_Toc207112806"/>
      <w:r>
        <w:br w:type="page"/>
      </w:r>
    </w:p>
    <w:p w14:paraId="18C1C792" w14:textId="1AA70A17" w:rsidR="009C3FB2" w:rsidRDefault="009C3FB2" w:rsidP="009E59D9">
      <w:pPr>
        <w:pStyle w:val="Heading1"/>
      </w:pPr>
      <w:r w:rsidRPr="007B317B">
        <w:lastRenderedPageBreak/>
        <w:t>Definitions</w:t>
      </w:r>
      <w:bookmarkEnd w:id="25"/>
    </w:p>
    <w:p w14:paraId="099D8E87" w14:textId="77777777" w:rsidR="00E23929" w:rsidRPr="00E64331" w:rsidRDefault="00E23929" w:rsidP="00E23929">
      <w:pPr>
        <w:pStyle w:val="Caption"/>
        <w:keepNext/>
        <w:rPr>
          <w:sz w:val="22"/>
          <w:szCs w:val="22"/>
        </w:rPr>
      </w:pPr>
      <w:bookmarkStart w:id="26" w:name="_Toc33790365"/>
      <w:bookmarkStart w:id="27" w:name="_Toc81265223"/>
      <w:r w:rsidRPr="00E64331">
        <w:rPr>
          <w:sz w:val="22"/>
          <w:szCs w:val="22"/>
        </w:rPr>
        <w:t xml:space="preserve">Table </w:t>
      </w:r>
      <w:r w:rsidRPr="00E64331">
        <w:rPr>
          <w:noProof/>
          <w:sz w:val="22"/>
          <w:szCs w:val="22"/>
        </w:rPr>
        <w:fldChar w:fldCharType="begin"/>
      </w:r>
      <w:r w:rsidRPr="00E64331">
        <w:rPr>
          <w:noProof/>
          <w:sz w:val="22"/>
          <w:szCs w:val="22"/>
        </w:rPr>
        <w:instrText xml:space="preserve"> SEQ Table \* ARABIC </w:instrText>
      </w:r>
      <w:r w:rsidRPr="00E64331">
        <w:rPr>
          <w:noProof/>
          <w:sz w:val="22"/>
          <w:szCs w:val="22"/>
        </w:rPr>
        <w:fldChar w:fldCharType="separate"/>
      </w:r>
      <w:r w:rsidRPr="00E64331">
        <w:rPr>
          <w:noProof/>
          <w:sz w:val="22"/>
          <w:szCs w:val="22"/>
        </w:rPr>
        <w:t>1</w:t>
      </w:r>
      <w:r w:rsidRPr="00E64331">
        <w:rPr>
          <w:noProof/>
          <w:sz w:val="22"/>
          <w:szCs w:val="22"/>
        </w:rPr>
        <w:fldChar w:fldCharType="end"/>
      </w:r>
      <w:r w:rsidRPr="00E64331">
        <w:rPr>
          <w:sz w:val="22"/>
          <w:szCs w:val="22"/>
        </w:rPr>
        <w:t>: Definitions of terms</w:t>
      </w:r>
      <w:bookmarkEnd w:id="26"/>
      <w:bookmarkEnd w:id="27"/>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63"/>
        <w:gridCol w:w="7365"/>
      </w:tblGrid>
      <w:tr w:rsidR="00BF28F6" w:rsidRPr="003730D2" w14:paraId="7B545523" w14:textId="77777777" w:rsidTr="00BF28F6">
        <w:trPr>
          <w:tblHeader/>
        </w:trPr>
        <w:tc>
          <w:tcPr>
            <w:tcW w:w="2263" w:type="dxa"/>
            <w:shd w:val="clear" w:color="auto" w:fill="196BAC"/>
          </w:tcPr>
          <w:p w14:paraId="7BB38E6F" w14:textId="77777777" w:rsidR="00BF28F6" w:rsidRPr="003730D2" w:rsidRDefault="00BF28F6" w:rsidP="00A23786">
            <w:pPr>
              <w:pStyle w:val="Tableheading"/>
              <w:spacing w:before="40" w:after="40"/>
              <w:rPr>
                <w:szCs w:val="22"/>
              </w:rPr>
            </w:pPr>
            <w:r w:rsidRPr="003730D2">
              <w:rPr>
                <w:szCs w:val="22"/>
              </w:rPr>
              <w:t>Term</w:t>
            </w:r>
          </w:p>
        </w:tc>
        <w:tc>
          <w:tcPr>
            <w:tcW w:w="7365" w:type="dxa"/>
            <w:shd w:val="clear" w:color="auto" w:fill="196BAC"/>
          </w:tcPr>
          <w:p w14:paraId="326C2F03" w14:textId="77777777" w:rsidR="00BF28F6" w:rsidRPr="003730D2" w:rsidRDefault="00BF28F6" w:rsidP="00A23786">
            <w:pPr>
              <w:pStyle w:val="Tableheading"/>
              <w:spacing w:before="40" w:after="40"/>
              <w:rPr>
                <w:szCs w:val="22"/>
              </w:rPr>
            </w:pPr>
            <w:r w:rsidRPr="003730D2">
              <w:rPr>
                <w:szCs w:val="22"/>
              </w:rPr>
              <w:t>Definition</w:t>
            </w:r>
          </w:p>
        </w:tc>
      </w:tr>
      <w:tr w:rsidR="004D1871" w:rsidRPr="003730D2" w14:paraId="74919193" w14:textId="77777777" w:rsidTr="00BF28F6">
        <w:tc>
          <w:tcPr>
            <w:tcW w:w="2263" w:type="dxa"/>
          </w:tcPr>
          <w:p w14:paraId="7512962E" w14:textId="758B96E5" w:rsidR="004D1871" w:rsidRPr="00721577" w:rsidRDefault="00721577" w:rsidP="00254393">
            <w:pPr>
              <w:pStyle w:val="Tablebody"/>
              <w:spacing w:before="60" w:after="60" w:line="259" w:lineRule="auto"/>
              <w:rPr>
                <w:b/>
                <w:bCs w:val="0"/>
              </w:rPr>
            </w:pPr>
            <w:r w:rsidRPr="00721577">
              <w:rPr>
                <w:b/>
                <w:bCs w:val="0"/>
              </w:rPr>
              <w:t>Compassionate Grounds</w:t>
            </w:r>
          </w:p>
        </w:tc>
        <w:tc>
          <w:tcPr>
            <w:tcW w:w="7365" w:type="dxa"/>
          </w:tcPr>
          <w:p w14:paraId="6518696E" w14:textId="156BEC3D" w:rsidR="004F49EE" w:rsidRPr="003730D2" w:rsidRDefault="002D2BF6" w:rsidP="00254393">
            <w:pPr>
              <w:pStyle w:val="Tablebody"/>
              <w:spacing w:before="60" w:after="60" w:line="259" w:lineRule="auto"/>
              <w:rPr>
                <w:rFonts w:cs="Arial"/>
              </w:rPr>
            </w:pPr>
            <w:r w:rsidRPr="00B80774">
              <w:t>Means circumstances of a compassionate nature including Financial Hardship, illness or death.</w:t>
            </w:r>
          </w:p>
        </w:tc>
      </w:tr>
      <w:tr w:rsidR="00E1595D" w:rsidRPr="003730D2" w14:paraId="7DBE1F5C" w14:textId="77777777" w:rsidTr="00BF28F6">
        <w:tc>
          <w:tcPr>
            <w:tcW w:w="2263" w:type="dxa"/>
          </w:tcPr>
          <w:p w14:paraId="6C9FF4FB" w14:textId="77777777" w:rsidR="00E1595D" w:rsidRPr="00E1595D" w:rsidRDefault="00E1595D" w:rsidP="00E1595D">
            <w:pPr>
              <w:pStyle w:val="Default"/>
              <w:rPr>
                <w:b/>
                <w:bCs/>
                <w:sz w:val="22"/>
                <w:szCs w:val="22"/>
              </w:rPr>
            </w:pPr>
            <w:r w:rsidRPr="00E1595D">
              <w:rPr>
                <w:b/>
                <w:bCs/>
                <w:sz w:val="22"/>
                <w:szCs w:val="22"/>
              </w:rPr>
              <w:t xml:space="preserve">Severe Financial Hardship </w:t>
            </w:r>
          </w:p>
          <w:p w14:paraId="2EDCC4CF" w14:textId="14AD0D56" w:rsidR="00E1595D" w:rsidRPr="003730D2" w:rsidRDefault="00E1595D" w:rsidP="00E1595D">
            <w:pPr>
              <w:pStyle w:val="Tablebody"/>
              <w:spacing w:before="60" w:after="60" w:line="259" w:lineRule="auto"/>
              <w:rPr>
                <w:b/>
                <w:bCs w:val="0"/>
              </w:rPr>
            </w:pPr>
          </w:p>
        </w:tc>
        <w:tc>
          <w:tcPr>
            <w:tcW w:w="7365" w:type="dxa"/>
          </w:tcPr>
          <w:p w14:paraId="4F862164" w14:textId="77777777" w:rsidR="00E1595D" w:rsidRPr="00B80774" w:rsidRDefault="00E1595D" w:rsidP="00E1595D">
            <w:r>
              <w:t>An owner of a residential property may experience severe financial hardship if they:</w:t>
            </w:r>
          </w:p>
          <w:p w14:paraId="67BBDBDB" w14:textId="77777777" w:rsidR="00E1595D" w:rsidRPr="00A97D26" w:rsidRDefault="00E1595D" w:rsidP="003857F0">
            <w:pPr>
              <w:pStyle w:val="ListParagraph"/>
              <w:numPr>
                <w:ilvl w:val="0"/>
                <w:numId w:val="11"/>
              </w:numPr>
              <w:ind w:left="428" w:hanging="434"/>
              <w:jc w:val="left"/>
            </w:pPr>
            <w:r w:rsidRPr="00B80774">
              <w:t>e</w:t>
            </w:r>
            <w:r w:rsidRPr="00A97D26">
              <w:t>xperience a loss of employment or loss of income and the owner is currently receiving financial assistance from the State or Federal Government and/or qualifies for Victorian Government Utilities Relief Hardship Scheme; or,</w:t>
            </w:r>
          </w:p>
          <w:p w14:paraId="2CEE5B4B" w14:textId="77777777" w:rsidR="00E1595D" w:rsidRPr="00A97D26" w:rsidRDefault="00E1595D" w:rsidP="003857F0">
            <w:pPr>
              <w:pStyle w:val="ListParagraph"/>
              <w:numPr>
                <w:ilvl w:val="0"/>
                <w:numId w:val="11"/>
              </w:numPr>
              <w:ind w:left="428" w:hanging="425"/>
              <w:jc w:val="left"/>
            </w:pPr>
            <w:r w:rsidRPr="00B80774">
              <w:t>h</w:t>
            </w:r>
            <w:r w:rsidRPr="00A97D26">
              <w:t>ave recently experienced:</w:t>
            </w:r>
          </w:p>
          <w:p w14:paraId="4F3113F4" w14:textId="77777777" w:rsidR="00E1595D" w:rsidRPr="00B80774" w:rsidRDefault="00E1595D" w:rsidP="003857F0">
            <w:pPr>
              <w:pStyle w:val="ListParagraph"/>
              <w:numPr>
                <w:ilvl w:val="0"/>
                <w:numId w:val="8"/>
              </w:numPr>
              <w:jc w:val="left"/>
            </w:pPr>
            <w:r w:rsidRPr="00B80774">
              <w:t>family tragedy;</w:t>
            </w:r>
          </w:p>
          <w:p w14:paraId="28D74AF6" w14:textId="77777777" w:rsidR="00E1595D" w:rsidRPr="00B80774" w:rsidRDefault="00E1595D" w:rsidP="003857F0">
            <w:pPr>
              <w:pStyle w:val="ListParagraph"/>
              <w:numPr>
                <w:ilvl w:val="0"/>
                <w:numId w:val="8"/>
              </w:numPr>
              <w:jc w:val="left"/>
            </w:pPr>
            <w:r w:rsidRPr="00B80774">
              <w:t xml:space="preserve">serious illness; </w:t>
            </w:r>
          </w:p>
          <w:p w14:paraId="6663989B" w14:textId="77777777" w:rsidR="00E1595D" w:rsidRPr="00B80774" w:rsidRDefault="00E1595D" w:rsidP="003857F0">
            <w:pPr>
              <w:pStyle w:val="ListParagraph"/>
              <w:numPr>
                <w:ilvl w:val="0"/>
                <w:numId w:val="8"/>
              </w:numPr>
              <w:jc w:val="left"/>
            </w:pPr>
            <w:r w:rsidRPr="00B80774">
              <w:t>impacts of natural disaster;</w:t>
            </w:r>
          </w:p>
          <w:p w14:paraId="15E258F7" w14:textId="77777777" w:rsidR="00E1595D" w:rsidRPr="00B80774" w:rsidRDefault="00E1595D" w:rsidP="003857F0">
            <w:pPr>
              <w:pStyle w:val="ListParagraph"/>
              <w:numPr>
                <w:ilvl w:val="0"/>
                <w:numId w:val="8"/>
              </w:numPr>
              <w:jc w:val="left"/>
              <w:rPr>
                <w:b/>
                <w:bCs/>
              </w:rPr>
            </w:pPr>
            <w:r w:rsidRPr="00B80774">
              <w:t>other serious and difficult unplanned circumstances.</w:t>
            </w:r>
            <w:r w:rsidRPr="00B80774">
              <w:rPr>
                <w:b/>
                <w:bCs/>
              </w:rPr>
              <w:t xml:space="preserve"> </w:t>
            </w:r>
          </w:p>
          <w:p w14:paraId="277BA95D" w14:textId="77777777" w:rsidR="00E1595D" w:rsidRPr="00B80774" w:rsidRDefault="00E1595D" w:rsidP="00E1595D">
            <w:r w:rsidRPr="00B80774">
              <w:t>An owner is considered to be in se</w:t>
            </w:r>
            <w:r>
              <w:t>vere</w:t>
            </w:r>
            <w:r w:rsidRPr="00B80774">
              <w:t xml:space="preserve"> hardship when they would be left unable to provide for themselves, their family or other dependents the following: </w:t>
            </w:r>
          </w:p>
          <w:p w14:paraId="4E1D2003" w14:textId="77777777" w:rsidR="00E1595D" w:rsidRPr="00B80774" w:rsidRDefault="00E1595D" w:rsidP="003857F0">
            <w:pPr>
              <w:pStyle w:val="ListParagraph"/>
              <w:numPr>
                <w:ilvl w:val="0"/>
                <w:numId w:val="10"/>
              </w:numPr>
              <w:jc w:val="left"/>
              <w:rPr>
                <w:bCs/>
              </w:rPr>
            </w:pPr>
            <w:r w:rsidRPr="00B80774">
              <w:rPr>
                <w:bCs/>
              </w:rPr>
              <w:t>food or clothing</w:t>
            </w:r>
          </w:p>
          <w:p w14:paraId="4E61FB04" w14:textId="77777777" w:rsidR="00E1595D" w:rsidRPr="00B80774" w:rsidRDefault="00E1595D" w:rsidP="003857F0">
            <w:pPr>
              <w:pStyle w:val="ListParagraph"/>
              <w:numPr>
                <w:ilvl w:val="0"/>
                <w:numId w:val="10"/>
              </w:numPr>
              <w:jc w:val="left"/>
              <w:rPr>
                <w:bCs/>
              </w:rPr>
            </w:pPr>
            <w:r w:rsidRPr="00B80774">
              <w:rPr>
                <w:bCs/>
              </w:rPr>
              <w:t>accommodation</w:t>
            </w:r>
          </w:p>
          <w:p w14:paraId="1FE79FD2" w14:textId="77777777" w:rsidR="00E1595D" w:rsidRPr="00B80774" w:rsidRDefault="00E1595D" w:rsidP="003857F0">
            <w:pPr>
              <w:pStyle w:val="ListParagraph"/>
              <w:numPr>
                <w:ilvl w:val="0"/>
                <w:numId w:val="10"/>
              </w:numPr>
              <w:jc w:val="left"/>
              <w:rPr>
                <w:bCs/>
              </w:rPr>
            </w:pPr>
            <w:r w:rsidRPr="00B80774">
              <w:rPr>
                <w:bCs/>
              </w:rPr>
              <w:t>medical treatment</w:t>
            </w:r>
          </w:p>
          <w:p w14:paraId="13EB0D30" w14:textId="77777777" w:rsidR="00E1595D" w:rsidRPr="00B80774" w:rsidRDefault="00E1595D" w:rsidP="003857F0">
            <w:pPr>
              <w:pStyle w:val="ListParagraph"/>
              <w:numPr>
                <w:ilvl w:val="0"/>
                <w:numId w:val="10"/>
              </w:numPr>
              <w:jc w:val="left"/>
              <w:rPr>
                <w:bCs/>
              </w:rPr>
            </w:pPr>
            <w:r w:rsidRPr="00B80774">
              <w:rPr>
                <w:bCs/>
              </w:rPr>
              <w:t xml:space="preserve">education  </w:t>
            </w:r>
          </w:p>
          <w:p w14:paraId="6676FC68" w14:textId="3B65B25F" w:rsidR="00E1595D" w:rsidRPr="003730D2" w:rsidRDefault="00E1595D" w:rsidP="00E1595D">
            <w:pPr>
              <w:pStyle w:val="Tablebody"/>
              <w:spacing w:before="60" w:after="60" w:line="259" w:lineRule="auto"/>
            </w:pPr>
            <w:r w:rsidRPr="00B80774">
              <w:t>other basic necessities</w:t>
            </w:r>
          </w:p>
        </w:tc>
      </w:tr>
      <w:tr w:rsidR="00E1595D" w:rsidRPr="003730D2" w14:paraId="3807CE9F" w14:textId="77777777" w:rsidTr="00BF28F6">
        <w:tc>
          <w:tcPr>
            <w:tcW w:w="2263" w:type="dxa"/>
          </w:tcPr>
          <w:p w14:paraId="09E62496" w14:textId="7DE19FB2" w:rsidR="00E1595D" w:rsidRPr="00E1595D" w:rsidRDefault="00E1595D" w:rsidP="00E1595D">
            <w:pPr>
              <w:pStyle w:val="Default"/>
              <w:rPr>
                <w:b/>
                <w:bCs/>
                <w:sz w:val="22"/>
                <w:szCs w:val="22"/>
              </w:rPr>
            </w:pPr>
            <w:r w:rsidRPr="00E1595D">
              <w:rPr>
                <w:b/>
                <w:bCs/>
                <w:sz w:val="22"/>
                <w:szCs w:val="22"/>
              </w:rPr>
              <w:t xml:space="preserve">Pensioner </w:t>
            </w:r>
          </w:p>
        </w:tc>
        <w:tc>
          <w:tcPr>
            <w:tcW w:w="7365" w:type="dxa"/>
          </w:tcPr>
          <w:p w14:paraId="5D16354E" w14:textId="7AE037C0" w:rsidR="00E1595D" w:rsidRPr="003730D2" w:rsidRDefault="00E1595D" w:rsidP="00E1595D">
            <w:pPr>
              <w:pStyle w:val="Tablebody"/>
              <w:spacing w:before="60" w:after="60" w:line="259" w:lineRule="auto"/>
            </w:pPr>
            <w:r w:rsidRPr="00B80774">
              <w:t xml:space="preserve">Refers to a ratepayer who is currently eligible to receive the municipal rates concession under the provisions of the </w:t>
            </w:r>
            <w:r w:rsidRPr="00B80774">
              <w:rPr>
                <w:i/>
                <w:iCs/>
              </w:rPr>
              <w:t xml:space="preserve">State Concessions Act 2004 </w:t>
            </w:r>
          </w:p>
        </w:tc>
      </w:tr>
      <w:tr w:rsidR="00E1595D" w:rsidRPr="003730D2" w14:paraId="7E9AA40C" w14:textId="77777777" w:rsidTr="00A54087">
        <w:tc>
          <w:tcPr>
            <w:tcW w:w="2263" w:type="dxa"/>
          </w:tcPr>
          <w:p w14:paraId="0873C025" w14:textId="06C7A888" w:rsidR="00E1595D" w:rsidRPr="00E1595D" w:rsidRDefault="00E1595D" w:rsidP="00E1595D">
            <w:pPr>
              <w:pStyle w:val="Tablebody"/>
              <w:spacing w:before="60" w:after="60" w:line="259" w:lineRule="auto"/>
              <w:rPr>
                <w:b/>
                <w:bCs w:val="0"/>
              </w:rPr>
            </w:pPr>
            <w:r w:rsidRPr="00E1595D">
              <w:rPr>
                <w:b/>
                <w:bCs w:val="0"/>
              </w:rPr>
              <w:t>Waiver</w:t>
            </w:r>
          </w:p>
        </w:tc>
        <w:tc>
          <w:tcPr>
            <w:tcW w:w="7365" w:type="dxa"/>
          </w:tcPr>
          <w:p w14:paraId="5B9F0549" w14:textId="34990C8C" w:rsidR="00E1595D" w:rsidRPr="003730D2" w:rsidRDefault="00E1595D" w:rsidP="00E1595D">
            <w:pPr>
              <w:pStyle w:val="Tablebody"/>
              <w:spacing w:before="60" w:after="60" w:line="259" w:lineRule="auto"/>
            </w:pPr>
            <w:r w:rsidRPr="00B80774">
              <w:t>A “waiver” is a one-off abandonment, which removes the liability to pay, and may be offered to include the whole or part of any interest and costs. In extreme circumstances rates may be waived at the capped amount of $750.</w:t>
            </w:r>
          </w:p>
        </w:tc>
      </w:tr>
    </w:tbl>
    <w:p w14:paraId="12164962" w14:textId="77777777" w:rsidR="00BF28F6" w:rsidRPr="002F51B4" w:rsidRDefault="00BF28F6" w:rsidP="002A48A1">
      <w:pPr>
        <w:spacing w:after="120"/>
        <w:rPr>
          <w:rFonts w:cs="Arial"/>
        </w:rPr>
      </w:pPr>
    </w:p>
    <w:p w14:paraId="6CA991C4" w14:textId="77777777" w:rsidR="003049BB" w:rsidRDefault="003049BB">
      <w:pPr>
        <w:rPr>
          <w:rFonts w:eastAsiaTheme="majorEastAsia" w:cs="Arial"/>
          <w:color w:val="196BAC"/>
          <w:sz w:val="40"/>
          <w:szCs w:val="40"/>
        </w:rPr>
      </w:pPr>
      <w:r>
        <w:br w:type="page"/>
      </w:r>
    </w:p>
    <w:p w14:paraId="7BD54B4D" w14:textId="3BAA56D6" w:rsidR="00E625AC" w:rsidRDefault="006C43F1" w:rsidP="00E625AC">
      <w:pPr>
        <w:pStyle w:val="Heading1"/>
      </w:pPr>
      <w:bookmarkStart w:id="28" w:name="_Toc207112807"/>
      <w:r>
        <w:lastRenderedPageBreak/>
        <w:t>Responsibilities</w:t>
      </w:r>
      <w:r w:rsidR="005E25E4">
        <w:t>:</w:t>
      </w:r>
      <w:bookmarkEnd w:id="28"/>
    </w:p>
    <w:tbl>
      <w:tblPr>
        <w:tblStyle w:val="TableGrid"/>
        <w:tblpPr w:leftFromText="180" w:rightFromText="180" w:vertAnchor="text" w:horzAnchor="margin" w:tblpY="188"/>
        <w:tblW w:w="9634" w:type="dxa"/>
        <w:tblLook w:val="04A0" w:firstRow="1" w:lastRow="0" w:firstColumn="1" w:lastColumn="0" w:noHBand="0" w:noVBand="1"/>
      </w:tblPr>
      <w:tblGrid>
        <w:gridCol w:w="3402"/>
        <w:gridCol w:w="6232"/>
      </w:tblGrid>
      <w:tr w:rsidR="00E625AC" w:rsidRPr="009D621A" w14:paraId="63E647DF" w14:textId="77777777" w:rsidTr="002A683B">
        <w:tc>
          <w:tcPr>
            <w:tcW w:w="3402" w:type="dxa"/>
            <w:shd w:val="clear" w:color="auto" w:fill="000000" w:themeFill="text1"/>
          </w:tcPr>
          <w:p w14:paraId="40B6D431" w14:textId="77777777" w:rsidR="00E625AC" w:rsidRPr="00C02688" w:rsidRDefault="00E625AC" w:rsidP="00C02688">
            <w:pPr>
              <w:pStyle w:val="Tableheading"/>
              <w:spacing w:before="40" w:after="40"/>
              <w:rPr>
                <w:szCs w:val="22"/>
              </w:rPr>
            </w:pPr>
            <w:r w:rsidRPr="00C02688">
              <w:rPr>
                <w:szCs w:val="22"/>
              </w:rPr>
              <w:t>Officer</w:t>
            </w:r>
          </w:p>
        </w:tc>
        <w:tc>
          <w:tcPr>
            <w:tcW w:w="6232" w:type="dxa"/>
            <w:shd w:val="clear" w:color="auto" w:fill="000000" w:themeFill="text1"/>
          </w:tcPr>
          <w:p w14:paraId="40F72229" w14:textId="77777777" w:rsidR="00E625AC" w:rsidRPr="00C02688" w:rsidRDefault="00E625AC" w:rsidP="00C02688">
            <w:pPr>
              <w:pStyle w:val="Tableheading"/>
              <w:spacing w:before="40" w:after="40"/>
              <w:rPr>
                <w:szCs w:val="22"/>
              </w:rPr>
            </w:pPr>
            <w:r w:rsidRPr="00C02688">
              <w:rPr>
                <w:szCs w:val="22"/>
              </w:rPr>
              <w:t>Responsibility</w:t>
            </w:r>
          </w:p>
        </w:tc>
      </w:tr>
      <w:tr w:rsidR="00E625AC" w:rsidRPr="009D621A" w14:paraId="4BE159A6" w14:textId="77777777" w:rsidTr="002A683B">
        <w:tc>
          <w:tcPr>
            <w:tcW w:w="3402" w:type="dxa"/>
          </w:tcPr>
          <w:p w14:paraId="14603312" w14:textId="77777777" w:rsidR="00E625AC" w:rsidRPr="009D621A" w:rsidRDefault="00E625AC" w:rsidP="00740D4B">
            <w:pPr>
              <w:spacing w:before="120"/>
            </w:pPr>
            <w:r w:rsidRPr="00B80774">
              <w:rPr>
                <w:b/>
              </w:rPr>
              <w:t>Chief Executive Officer</w:t>
            </w:r>
          </w:p>
        </w:tc>
        <w:tc>
          <w:tcPr>
            <w:tcW w:w="6232" w:type="dxa"/>
          </w:tcPr>
          <w:p w14:paraId="4993F315" w14:textId="6E729D43" w:rsidR="00E625AC" w:rsidRPr="009D621A" w:rsidRDefault="00E625AC" w:rsidP="00740D4B">
            <w:pPr>
              <w:spacing w:before="120"/>
            </w:pPr>
            <w:r w:rsidRPr="00B80774">
              <w:t>For ensuring the policy and procedures are in place</w:t>
            </w:r>
            <w:r w:rsidR="008534A6">
              <w:t xml:space="preserve"> and app</w:t>
            </w:r>
            <w:r w:rsidR="00585BDB">
              <w:t>roval of administrative changes.</w:t>
            </w:r>
          </w:p>
        </w:tc>
      </w:tr>
      <w:tr w:rsidR="00E625AC" w:rsidRPr="009D621A" w14:paraId="51D98FDA" w14:textId="77777777" w:rsidTr="002A683B">
        <w:tc>
          <w:tcPr>
            <w:tcW w:w="3402" w:type="dxa"/>
          </w:tcPr>
          <w:p w14:paraId="1F391A29" w14:textId="2EB86056" w:rsidR="00E625AC" w:rsidRPr="009D621A" w:rsidRDefault="00E625AC" w:rsidP="00740D4B">
            <w:pPr>
              <w:spacing w:before="120"/>
            </w:pPr>
            <w:r w:rsidRPr="00B80774">
              <w:rPr>
                <w:b/>
              </w:rPr>
              <w:t>General Manager Operations</w:t>
            </w:r>
            <w:r>
              <w:rPr>
                <w:b/>
              </w:rPr>
              <w:t>,</w:t>
            </w:r>
            <w:r w:rsidRPr="00B80774">
              <w:rPr>
                <w:b/>
              </w:rPr>
              <w:t xml:space="preserve"> and Infrastructure</w:t>
            </w:r>
          </w:p>
        </w:tc>
        <w:tc>
          <w:tcPr>
            <w:tcW w:w="6232" w:type="dxa"/>
          </w:tcPr>
          <w:p w14:paraId="6CAD5D1A" w14:textId="77777777" w:rsidR="00E625AC" w:rsidRPr="009D621A" w:rsidRDefault="00E625AC" w:rsidP="00740D4B">
            <w:pPr>
              <w:spacing w:before="120"/>
            </w:pPr>
            <w:r w:rsidRPr="00B80774">
              <w:t>For ensuring the policy and procedures are implemented</w:t>
            </w:r>
          </w:p>
        </w:tc>
      </w:tr>
      <w:tr w:rsidR="00E625AC" w:rsidRPr="009D621A" w14:paraId="6F2C9181" w14:textId="77777777" w:rsidTr="002A683B">
        <w:tc>
          <w:tcPr>
            <w:tcW w:w="3402" w:type="dxa"/>
          </w:tcPr>
          <w:p w14:paraId="22707D22" w14:textId="77777777" w:rsidR="00E625AC" w:rsidRPr="009D621A" w:rsidRDefault="00E625AC" w:rsidP="00740D4B">
            <w:pPr>
              <w:spacing w:before="120"/>
            </w:pPr>
            <w:r w:rsidRPr="00B80774">
              <w:rPr>
                <w:b/>
              </w:rPr>
              <w:t>Chief Financial Officer</w:t>
            </w:r>
          </w:p>
        </w:tc>
        <w:tc>
          <w:tcPr>
            <w:tcW w:w="6232" w:type="dxa"/>
          </w:tcPr>
          <w:p w14:paraId="507D3A26" w14:textId="77777777" w:rsidR="00E625AC" w:rsidRPr="00B80774" w:rsidRDefault="00E625AC" w:rsidP="00740D4B">
            <w:pPr>
              <w:spacing w:before="120"/>
            </w:pPr>
            <w:r w:rsidRPr="00B80774">
              <w:t>For receiving, assessing</w:t>
            </w:r>
            <w:r>
              <w:t>,</w:t>
            </w:r>
            <w:r w:rsidRPr="00B80774">
              <w:t xml:space="preserve"> and approving applications submitted for financial hardship. Reporting to Council where necessary</w:t>
            </w:r>
          </w:p>
        </w:tc>
      </w:tr>
      <w:tr w:rsidR="00E625AC" w:rsidRPr="009D621A" w14:paraId="71E976F9" w14:textId="77777777" w:rsidTr="002A683B">
        <w:tc>
          <w:tcPr>
            <w:tcW w:w="3402" w:type="dxa"/>
          </w:tcPr>
          <w:p w14:paraId="1BD6E991" w14:textId="77777777" w:rsidR="00E625AC" w:rsidRPr="009D621A" w:rsidRDefault="00E625AC" w:rsidP="00740D4B">
            <w:pPr>
              <w:spacing w:before="120"/>
            </w:pPr>
            <w:r w:rsidRPr="00B80774">
              <w:rPr>
                <w:b/>
              </w:rPr>
              <w:t>Coordinator Revenue &amp; Valuations</w:t>
            </w:r>
          </w:p>
        </w:tc>
        <w:tc>
          <w:tcPr>
            <w:tcW w:w="6232" w:type="dxa"/>
          </w:tcPr>
          <w:p w14:paraId="1ECB2224" w14:textId="77777777" w:rsidR="00E625AC" w:rsidRPr="009D621A" w:rsidRDefault="00E625AC" w:rsidP="00740D4B">
            <w:pPr>
              <w:spacing w:before="120"/>
            </w:pPr>
            <w:r w:rsidRPr="00B80774">
              <w:t>For considering and determining applications for financial hardship, payment arrangements. Administration in relation to applications</w:t>
            </w:r>
          </w:p>
        </w:tc>
      </w:tr>
    </w:tbl>
    <w:p w14:paraId="24861BA1" w14:textId="77777777" w:rsidR="00E625AC" w:rsidRDefault="00E625AC" w:rsidP="00E625AC">
      <w:pPr>
        <w:rPr>
          <w:i/>
          <w:iCs/>
          <w:color w:val="44546A" w:themeColor="text2"/>
          <w:sz w:val="18"/>
          <w:szCs w:val="18"/>
        </w:rPr>
      </w:pPr>
    </w:p>
    <w:p w14:paraId="21D6F864" w14:textId="77777777" w:rsidR="0097787F" w:rsidRDefault="0097787F" w:rsidP="00E625AC">
      <w:pPr>
        <w:pStyle w:val="BodyText"/>
        <w:rPr>
          <w:b/>
          <w:bCs/>
          <w:sz w:val="28"/>
          <w:szCs w:val="28"/>
        </w:rPr>
      </w:pPr>
    </w:p>
    <w:p w14:paraId="5F9375D1" w14:textId="77777777" w:rsidR="0097787F" w:rsidRDefault="0097787F" w:rsidP="00E625AC">
      <w:pPr>
        <w:pStyle w:val="BodyText"/>
        <w:rPr>
          <w:b/>
          <w:bCs/>
          <w:sz w:val="28"/>
          <w:szCs w:val="28"/>
        </w:rPr>
      </w:pPr>
    </w:p>
    <w:p w14:paraId="3D40DB8C" w14:textId="77777777" w:rsidR="0097787F" w:rsidRDefault="0097787F" w:rsidP="00E625AC">
      <w:pPr>
        <w:pStyle w:val="BodyText"/>
        <w:rPr>
          <w:b/>
          <w:bCs/>
          <w:sz w:val="28"/>
          <w:szCs w:val="28"/>
        </w:rPr>
      </w:pPr>
    </w:p>
    <w:p w14:paraId="582EB699" w14:textId="77777777" w:rsidR="0097787F" w:rsidRDefault="0097787F" w:rsidP="00E625AC">
      <w:pPr>
        <w:pStyle w:val="BodyText"/>
        <w:rPr>
          <w:b/>
          <w:bCs/>
          <w:sz w:val="28"/>
          <w:szCs w:val="28"/>
        </w:rPr>
      </w:pPr>
    </w:p>
    <w:p w14:paraId="1C86CEF6" w14:textId="77777777" w:rsidR="0097787F" w:rsidRDefault="0097787F" w:rsidP="00E625AC">
      <w:pPr>
        <w:pStyle w:val="BodyText"/>
        <w:rPr>
          <w:b/>
          <w:bCs/>
          <w:sz w:val="28"/>
          <w:szCs w:val="28"/>
        </w:rPr>
      </w:pPr>
    </w:p>
    <w:p w14:paraId="7E2A4D6D" w14:textId="77777777" w:rsidR="00776296" w:rsidRDefault="00776296">
      <w:pPr>
        <w:rPr>
          <w:rFonts w:eastAsiaTheme="majorEastAsia" w:cs="Arial"/>
          <w:color w:val="196BAC"/>
          <w:sz w:val="40"/>
          <w:szCs w:val="40"/>
        </w:rPr>
      </w:pPr>
      <w:r>
        <w:br w:type="page"/>
      </w:r>
    </w:p>
    <w:p w14:paraId="5B293FD0" w14:textId="753B4746" w:rsidR="00D851BE" w:rsidRPr="009A0917" w:rsidRDefault="00903622" w:rsidP="00D851BE">
      <w:pPr>
        <w:pStyle w:val="Heading1"/>
        <w:rPr>
          <w:rStyle w:val="eop"/>
        </w:rPr>
      </w:pPr>
      <w:bookmarkStart w:id="29" w:name="_Toc207112808"/>
      <w:r w:rsidRPr="007B317B">
        <w:lastRenderedPageBreak/>
        <w:t>Document</w:t>
      </w:r>
      <w:r w:rsidR="00C23937" w:rsidRPr="007B317B">
        <w:t xml:space="preserve"> history</w:t>
      </w:r>
      <w:bookmarkEnd w:id="29"/>
    </w:p>
    <w:p w14:paraId="3CA7DDC0" w14:textId="77777777" w:rsidR="0097787F" w:rsidRDefault="0097787F" w:rsidP="0097787F">
      <w:pPr>
        <w:pStyle w:val="Governancedetail"/>
        <w:ind w:right="707"/>
        <w:rPr>
          <w:b/>
          <w:sz w:val="22"/>
        </w:rPr>
      </w:pPr>
      <w:bookmarkStart w:id="30" w:name="_Hlk30699916"/>
      <w:bookmarkStart w:id="31" w:name="_Hlk30700339"/>
      <w:bookmarkStart w:id="32" w:name="_Hlk27728039"/>
      <w:r w:rsidRPr="00097BF0">
        <w:rPr>
          <w:b/>
          <w:sz w:val="22"/>
        </w:rPr>
        <w:t>Responsible Service/Department:</w:t>
      </w:r>
      <w:r>
        <w:rPr>
          <w:b/>
          <w:sz w:val="22"/>
        </w:rPr>
        <w:t xml:space="preserve"> </w:t>
      </w:r>
    </w:p>
    <w:p w14:paraId="0EF2EDC3" w14:textId="77777777" w:rsidR="0097787F" w:rsidRPr="009C49D2" w:rsidRDefault="0097787F" w:rsidP="0097787F">
      <w:pPr>
        <w:spacing w:after="0"/>
        <w:ind w:right="565"/>
      </w:pPr>
      <w:r w:rsidRPr="00DF68D8">
        <w:t>Chief Financial Officer</w:t>
      </w:r>
    </w:p>
    <w:p w14:paraId="1898119B" w14:textId="77777777" w:rsidR="0097787F" w:rsidRDefault="0097787F" w:rsidP="0097787F">
      <w:pPr>
        <w:pStyle w:val="Governancedetail"/>
        <w:tabs>
          <w:tab w:val="right" w:pos="-3060"/>
          <w:tab w:val="left" w:pos="4395"/>
        </w:tabs>
        <w:ind w:right="707"/>
      </w:pPr>
      <w:r w:rsidRPr="00097BF0">
        <w:rPr>
          <w:b/>
          <w:sz w:val="22"/>
        </w:rPr>
        <w:t>Adoption Authorised:</w:t>
      </w:r>
      <w:r w:rsidRPr="00097BF0">
        <w:t xml:space="preserve"> </w:t>
      </w:r>
      <w:r>
        <w:t xml:space="preserve"> </w:t>
      </w:r>
    </w:p>
    <w:p w14:paraId="1CE830E4" w14:textId="77777777" w:rsidR="0097787F" w:rsidRPr="00B80774" w:rsidRDefault="0097787F" w:rsidP="0097787F">
      <w:pPr>
        <w:spacing w:after="0"/>
        <w:ind w:right="565"/>
        <w:rPr>
          <w:sz w:val="20"/>
          <w:szCs w:val="20"/>
        </w:rPr>
      </w:pPr>
      <w:r w:rsidRPr="00B80774">
        <w:t>Council Meeting</w:t>
      </w:r>
    </w:p>
    <w:p w14:paraId="12A85C8B" w14:textId="77777777" w:rsidR="0097787F" w:rsidRDefault="0097787F" w:rsidP="0097787F">
      <w:pPr>
        <w:pStyle w:val="Governancedetail"/>
        <w:ind w:right="707"/>
        <w:rPr>
          <w:b/>
          <w:sz w:val="22"/>
        </w:rPr>
      </w:pPr>
      <w:r w:rsidRPr="00097BF0">
        <w:rPr>
          <w:b/>
          <w:sz w:val="22"/>
        </w:rPr>
        <w:t>Date of Adoption:</w:t>
      </w:r>
      <w:r>
        <w:rPr>
          <w:b/>
          <w:sz w:val="22"/>
        </w:rPr>
        <w:t xml:space="preserve"> </w:t>
      </w:r>
    </w:p>
    <w:p w14:paraId="5FF2FF6F" w14:textId="2566AC2E" w:rsidR="0097787F" w:rsidRPr="005B2BC4" w:rsidRDefault="0097787F" w:rsidP="0097787F">
      <w:pPr>
        <w:ind w:right="4818"/>
      </w:pPr>
      <w:r w:rsidRPr="006418D8">
        <w:t xml:space="preserve">3 </w:t>
      </w:r>
      <w:r w:rsidR="00EC2F58">
        <w:t>September</w:t>
      </w:r>
      <w:r w:rsidRPr="005B2BC4">
        <w:t xml:space="preserve"> 202</w:t>
      </w:r>
      <w:r w:rsidR="001A606A">
        <w:t>5</w:t>
      </w:r>
    </w:p>
    <w:p w14:paraId="083E3559" w14:textId="77777777" w:rsidR="0097787F" w:rsidRDefault="0097787F" w:rsidP="0097787F">
      <w:pPr>
        <w:pStyle w:val="Governancedetail"/>
        <w:ind w:right="707"/>
        <w:rPr>
          <w:b/>
          <w:sz w:val="22"/>
        </w:rPr>
      </w:pPr>
      <w:r w:rsidRPr="00097BF0">
        <w:rPr>
          <w:b/>
          <w:sz w:val="22"/>
        </w:rPr>
        <w:t xml:space="preserve">Date Effective From: </w:t>
      </w:r>
    </w:p>
    <w:p w14:paraId="559139A6" w14:textId="4C8B290D" w:rsidR="0097787F" w:rsidRPr="009C49D2" w:rsidRDefault="006418D8" w:rsidP="0097787F">
      <w:pPr>
        <w:ind w:right="4818"/>
      </w:pPr>
      <w:r>
        <w:t>3 September</w:t>
      </w:r>
      <w:r w:rsidR="0097787F">
        <w:t xml:space="preserve"> 202</w:t>
      </w:r>
      <w:r w:rsidR="00EC2F58">
        <w:t>5</w:t>
      </w:r>
      <w:r w:rsidR="0097787F">
        <w:t xml:space="preserve"> </w:t>
      </w:r>
    </w:p>
    <w:p w14:paraId="3F5D767D" w14:textId="77777777" w:rsidR="0097787F" w:rsidRPr="00097BF0" w:rsidRDefault="0097787F" w:rsidP="0097787F">
      <w:pPr>
        <w:pStyle w:val="Governancedetail"/>
        <w:ind w:right="707"/>
        <w:rPr>
          <w:b/>
          <w:sz w:val="22"/>
        </w:rPr>
      </w:pPr>
      <w:r>
        <w:rPr>
          <w:b/>
          <w:sz w:val="22"/>
        </w:rPr>
        <w:t xml:space="preserve">ECM </w:t>
      </w:r>
      <w:r w:rsidRPr="00097BF0">
        <w:rPr>
          <w:b/>
          <w:sz w:val="22"/>
        </w:rPr>
        <w:t>Content Manager folder:</w:t>
      </w:r>
      <w:r>
        <w:rPr>
          <w:b/>
          <w:sz w:val="22"/>
        </w:rPr>
        <w:t xml:space="preserve">  </w:t>
      </w:r>
    </w:p>
    <w:p w14:paraId="7F976370" w14:textId="77777777" w:rsidR="0097787F" w:rsidRPr="005B2BC4" w:rsidRDefault="0097787F" w:rsidP="0097787F">
      <w:pPr>
        <w:ind w:right="4818"/>
      </w:pPr>
      <w:r w:rsidRPr="005B2BC4">
        <w:t>Council Policy</w:t>
      </w:r>
    </w:p>
    <w:p w14:paraId="6DCEAB35" w14:textId="77777777" w:rsidR="0097787F" w:rsidRPr="00097BF0" w:rsidRDefault="0097787F" w:rsidP="0097787F">
      <w:pPr>
        <w:pStyle w:val="Governancedetail"/>
        <w:ind w:right="707"/>
        <w:rPr>
          <w:b/>
          <w:sz w:val="22"/>
        </w:rPr>
      </w:pPr>
      <w:r>
        <w:rPr>
          <w:b/>
          <w:sz w:val="22"/>
        </w:rPr>
        <w:t xml:space="preserve">ECM </w:t>
      </w:r>
      <w:r w:rsidRPr="00097BF0">
        <w:rPr>
          <w:b/>
          <w:sz w:val="22"/>
        </w:rPr>
        <w:t>Content Manager file #:</w:t>
      </w:r>
      <w:r>
        <w:rPr>
          <w:b/>
          <w:sz w:val="22"/>
        </w:rPr>
        <w:t xml:space="preserve">  </w:t>
      </w:r>
    </w:p>
    <w:p w14:paraId="2C8B0345" w14:textId="5CE69EB3" w:rsidR="0097787F" w:rsidRPr="008A1B32" w:rsidRDefault="3234135A" w:rsidP="0097787F">
      <w:pPr>
        <w:ind w:right="4818"/>
      </w:pPr>
      <w:r>
        <w:t>9472454</w:t>
      </w:r>
    </w:p>
    <w:p w14:paraId="6C094102" w14:textId="77777777" w:rsidR="0097787F" w:rsidRPr="00F976B8" w:rsidRDefault="0097787F" w:rsidP="0097787F">
      <w:pPr>
        <w:pStyle w:val="Governancedetail"/>
        <w:ind w:right="707"/>
        <w:rPr>
          <w:b/>
          <w:sz w:val="22"/>
        </w:rPr>
      </w:pPr>
      <w:r>
        <w:rPr>
          <w:b/>
          <w:sz w:val="22"/>
        </w:rPr>
        <w:t xml:space="preserve">Endorsed CEO or ELT member or department manager to make or approve document editorial amendments: </w:t>
      </w:r>
    </w:p>
    <w:p w14:paraId="3A0FECDA" w14:textId="77777777" w:rsidR="0097787F" w:rsidRPr="009C49D2" w:rsidRDefault="0097787F" w:rsidP="0097787F">
      <w:pPr>
        <w:ind w:right="4818"/>
      </w:pPr>
      <w:r>
        <w:t>CFO via delegation from the CEO</w:t>
      </w:r>
    </w:p>
    <w:p w14:paraId="0FFE3C3E" w14:textId="77777777" w:rsidR="0097787F" w:rsidRPr="00097BF0" w:rsidRDefault="0097787F" w:rsidP="0097787F">
      <w:pPr>
        <w:pStyle w:val="Governancedetail"/>
        <w:ind w:right="707"/>
        <w:rPr>
          <w:b/>
          <w:sz w:val="22"/>
        </w:rPr>
      </w:pPr>
      <w:r w:rsidRPr="00097BF0">
        <w:rPr>
          <w:b/>
          <w:sz w:val="22"/>
        </w:rPr>
        <w:t xml:space="preserve">Annual Desktop Review date: </w:t>
      </w:r>
      <w:bookmarkStart w:id="33" w:name="_Hlk30584560"/>
    </w:p>
    <w:bookmarkEnd w:id="33"/>
    <w:p w14:paraId="2759D038" w14:textId="77777777" w:rsidR="0097787F" w:rsidRPr="00097BF0" w:rsidRDefault="0097787F" w:rsidP="0097787F">
      <w:pPr>
        <w:ind w:right="565"/>
      </w:pPr>
      <w:r>
        <w:t xml:space="preserve">March </w:t>
      </w:r>
    </w:p>
    <w:p w14:paraId="3B95C8F0" w14:textId="77777777" w:rsidR="0097787F" w:rsidRPr="00097BF0" w:rsidRDefault="0097787F" w:rsidP="0097787F">
      <w:pPr>
        <w:pStyle w:val="Governancedetail"/>
        <w:ind w:right="707"/>
        <w:rPr>
          <w:sz w:val="20"/>
          <w:szCs w:val="20"/>
          <w:highlight w:val="yellow"/>
        </w:rPr>
      </w:pPr>
      <w:bookmarkStart w:id="34" w:name="_Hlk30699931"/>
      <w:bookmarkEnd w:id="30"/>
      <w:r w:rsidRPr="00097BF0">
        <w:rPr>
          <w:b/>
          <w:sz w:val="22"/>
        </w:rPr>
        <w:t>Review date:</w:t>
      </w:r>
      <w:r w:rsidRPr="00097BF0">
        <w:rPr>
          <w:b/>
          <w:vanish/>
          <w:sz w:val="22"/>
        </w:rPr>
        <w:t xml:space="preserve"> </w:t>
      </w:r>
    </w:p>
    <w:bookmarkEnd w:id="31"/>
    <w:bookmarkEnd w:id="34"/>
    <w:p w14:paraId="7C4A7BCC" w14:textId="55AE6F34" w:rsidR="0097787F" w:rsidRPr="00097BF0" w:rsidRDefault="0097787F" w:rsidP="0097787F">
      <w:pPr>
        <w:ind w:right="565"/>
      </w:pPr>
      <w:r>
        <w:t xml:space="preserve">This Policy will be reviewed prior to </w:t>
      </w:r>
      <w:r w:rsidR="00B55E82">
        <w:t>September</w:t>
      </w:r>
      <w:r>
        <w:t xml:space="preserve"> 202</w:t>
      </w:r>
      <w:r w:rsidR="00B55E82">
        <w:t>6</w:t>
      </w:r>
    </w:p>
    <w:p w14:paraId="507C2E6E" w14:textId="77777777" w:rsidR="0097787F" w:rsidRPr="00097BF0" w:rsidRDefault="0097787F" w:rsidP="0097787F">
      <w:pPr>
        <w:pStyle w:val="Governancedetail"/>
        <w:ind w:right="707"/>
        <w:rPr>
          <w:sz w:val="20"/>
          <w:szCs w:val="20"/>
          <w:highlight w:val="yellow"/>
        </w:rPr>
      </w:pPr>
      <w:bookmarkStart w:id="35" w:name="_Hlk30700356"/>
      <w:r w:rsidRPr="00097BF0">
        <w:rPr>
          <w:b/>
          <w:sz w:val="22"/>
        </w:rPr>
        <w:t xml:space="preserve">Completion date: </w:t>
      </w:r>
    </w:p>
    <w:p w14:paraId="470E0C66" w14:textId="77777777" w:rsidR="0097787F" w:rsidRPr="00097BF0" w:rsidRDefault="0097787F" w:rsidP="0097787F">
      <w:pPr>
        <w:ind w:right="565"/>
      </w:pPr>
      <w:r>
        <w:t xml:space="preserve">Valid until rescinded </w:t>
      </w:r>
    </w:p>
    <w:p w14:paraId="00FE881D" w14:textId="2D538B93" w:rsidR="0097787F" w:rsidRPr="00097BF0" w:rsidRDefault="3234135A" w:rsidP="3234135A">
      <w:pPr>
        <w:pStyle w:val="Governancedetail"/>
        <w:tabs>
          <w:tab w:val="clear" w:pos="6300"/>
          <w:tab w:val="left" w:pos="2359"/>
        </w:tabs>
        <w:ind w:right="707"/>
        <w:rPr>
          <w:b/>
          <w:bCs/>
          <w:sz w:val="22"/>
        </w:rPr>
      </w:pPr>
      <w:r w:rsidRPr="3234135A">
        <w:rPr>
          <w:b/>
          <w:bCs/>
          <w:sz w:val="22"/>
        </w:rPr>
        <w:t>Version number:</w:t>
      </w:r>
    </w:p>
    <w:p w14:paraId="3FB878F5" w14:textId="5F99179D" w:rsidR="0097787F" w:rsidRPr="00097BF0" w:rsidRDefault="0097787F" w:rsidP="0097787F">
      <w:pPr>
        <w:ind w:right="565"/>
      </w:pPr>
      <w:r>
        <w:t>V</w:t>
      </w:r>
      <w:r w:rsidR="00B55E82">
        <w:t>5</w:t>
      </w:r>
    </w:p>
    <w:bookmarkEnd w:id="35"/>
    <w:p w14:paraId="2305203B" w14:textId="77777777" w:rsidR="0097787F" w:rsidRPr="00097BF0" w:rsidRDefault="0097787F" w:rsidP="0097787F">
      <w:pPr>
        <w:pStyle w:val="Governancedetail"/>
        <w:tabs>
          <w:tab w:val="left" w:pos="4536"/>
        </w:tabs>
        <w:ind w:right="707"/>
        <w:rPr>
          <w:sz w:val="20"/>
          <w:szCs w:val="20"/>
        </w:rPr>
      </w:pPr>
      <w:r w:rsidRPr="00097BF0">
        <w:rPr>
          <w:b/>
          <w:sz w:val="22"/>
        </w:rPr>
        <w:t>Stakeholder review and engagement:</w:t>
      </w:r>
      <w:r w:rsidRPr="00097BF0">
        <w:t xml:space="preserve"> </w:t>
      </w:r>
    </w:p>
    <w:p w14:paraId="16B2327B" w14:textId="77777777" w:rsidR="0097787F" w:rsidRPr="00097BF0" w:rsidRDefault="0097787F" w:rsidP="0097787F">
      <w:pPr>
        <w:ind w:right="565"/>
      </w:pPr>
      <w:r>
        <w:t xml:space="preserve">ELT and Council </w:t>
      </w:r>
    </w:p>
    <w:p w14:paraId="4D475141" w14:textId="77777777" w:rsidR="0097787F" w:rsidRPr="00097BF0" w:rsidRDefault="0097787F" w:rsidP="0097787F">
      <w:pPr>
        <w:pStyle w:val="Governancedetail"/>
        <w:tabs>
          <w:tab w:val="right" w:pos="-3060"/>
          <w:tab w:val="left" w:pos="4395"/>
        </w:tabs>
        <w:ind w:right="707"/>
        <w:rPr>
          <w:b/>
          <w:sz w:val="22"/>
        </w:rPr>
      </w:pPr>
      <w:r w:rsidRPr="00097BF0">
        <w:rPr>
          <w:b/>
          <w:sz w:val="22"/>
        </w:rPr>
        <w:t>Relevant Legislation:</w:t>
      </w:r>
      <w:r>
        <w:rPr>
          <w:b/>
          <w:sz w:val="22"/>
        </w:rPr>
        <w:t xml:space="preserve"> </w:t>
      </w:r>
    </w:p>
    <w:p w14:paraId="440509C6" w14:textId="77777777" w:rsidR="0097787F" w:rsidRPr="00434446" w:rsidRDefault="0097787F" w:rsidP="0097787F">
      <w:pPr>
        <w:ind w:right="4818"/>
        <w:rPr>
          <w:i/>
          <w:iCs/>
        </w:rPr>
      </w:pPr>
      <w:r w:rsidRPr="00434446">
        <w:rPr>
          <w:i/>
          <w:iCs/>
        </w:rPr>
        <w:t xml:space="preserve">Local Government Act </w:t>
      </w:r>
      <w:r>
        <w:rPr>
          <w:i/>
          <w:iCs/>
        </w:rPr>
        <w:t>1989 including proposed amendments</w:t>
      </w:r>
    </w:p>
    <w:p w14:paraId="1054BEA2" w14:textId="77777777" w:rsidR="0097787F" w:rsidRPr="00097BF0" w:rsidRDefault="0097787F" w:rsidP="0097787F">
      <w:pPr>
        <w:pStyle w:val="Governancedetail"/>
        <w:tabs>
          <w:tab w:val="left" w:pos="4395"/>
        </w:tabs>
        <w:ind w:right="707"/>
        <w:rPr>
          <w:b/>
          <w:bCs/>
          <w:sz w:val="22"/>
        </w:rPr>
      </w:pPr>
      <w:r w:rsidRPr="22F32D0C">
        <w:rPr>
          <w:b/>
          <w:bCs/>
          <w:sz w:val="22"/>
        </w:rPr>
        <w:t xml:space="preserve">Associated Strategic Direction: </w:t>
      </w:r>
    </w:p>
    <w:p w14:paraId="1E220E31" w14:textId="32C9C116" w:rsidR="0097787F" w:rsidRPr="00EC582E" w:rsidRDefault="0097787F" w:rsidP="0097787F">
      <w:pPr>
        <w:ind w:right="565"/>
      </w:pPr>
      <w:r>
        <w:t>Council Plan 202</w:t>
      </w:r>
      <w:r w:rsidR="00776296">
        <w:t>5</w:t>
      </w:r>
      <w:r>
        <w:t>-3</w:t>
      </w:r>
      <w:r w:rsidR="00DF4B10">
        <w:t>5</w:t>
      </w:r>
      <w:r>
        <w:t xml:space="preserve"> “Inclusive Governed Port Phillip”</w:t>
      </w:r>
    </w:p>
    <w:p w14:paraId="1B873044" w14:textId="77777777" w:rsidR="0097787F" w:rsidRPr="00097BF0" w:rsidRDefault="0097787F" w:rsidP="0097787F">
      <w:pPr>
        <w:ind w:right="565"/>
      </w:pPr>
    </w:p>
    <w:p w14:paraId="2C53589A" w14:textId="77777777" w:rsidR="0097787F" w:rsidRDefault="0097787F" w:rsidP="0097787F">
      <w:pPr>
        <w:pStyle w:val="Governancedetail"/>
        <w:tabs>
          <w:tab w:val="right" w:pos="-3060"/>
          <w:tab w:val="left" w:pos="4395"/>
        </w:tabs>
        <w:ind w:right="707"/>
        <w:rPr>
          <w:b/>
          <w:sz w:val="22"/>
        </w:rPr>
      </w:pPr>
      <w:r w:rsidRPr="00097BF0">
        <w:rPr>
          <w:b/>
          <w:sz w:val="22"/>
        </w:rPr>
        <w:lastRenderedPageBreak/>
        <w:t xml:space="preserve">Associated </w:t>
      </w:r>
      <w:r>
        <w:rPr>
          <w:b/>
          <w:sz w:val="22"/>
        </w:rPr>
        <w:t>Instrument</w:t>
      </w:r>
      <w:r w:rsidRPr="00097BF0">
        <w:rPr>
          <w:b/>
          <w:sz w:val="22"/>
        </w:rPr>
        <w:t xml:space="preserve">s: </w:t>
      </w:r>
    </w:p>
    <w:p w14:paraId="147AD2C1" w14:textId="77777777" w:rsidR="0097787F" w:rsidRDefault="0097787F" w:rsidP="0097787F">
      <w:pPr>
        <w:ind w:right="284"/>
      </w:pPr>
      <w:r w:rsidRPr="00EC582E">
        <w:t>Finance related policies and procedures</w:t>
      </w:r>
      <w:r>
        <w:t>:  Rating Strategy</w:t>
      </w:r>
    </w:p>
    <w:p w14:paraId="46F4028A" w14:textId="77777777" w:rsidR="0097787F" w:rsidRDefault="0097787F" w:rsidP="0097787F">
      <w:pPr>
        <w:ind w:right="284"/>
      </w:pPr>
      <w:hyperlink r:id="rId15" w:history="1">
        <w:r w:rsidRPr="006E3A70">
          <w:rPr>
            <w:rStyle w:val="Hyperlink"/>
          </w:rPr>
          <w:t>https://www.portphillip.vic.gov.au/council-services/rates-and-valuations/rates-concessions-and-hardship-relief</w:t>
        </w:r>
      </w:hyperlink>
      <w:r>
        <w:t xml:space="preserve"> </w:t>
      </w:r>
    </w:p>
    <w:p w14:paraId="1A124C77" w14:textId="77777777" w:rsidR="0097787F" w:rsidRPr="00097BF0" w:rsidRDefault="0097787F" w:rsidP="0097787F">
      <w:pPr>
        <w:pStyle w:val="Governancedetail"/>
        <w:tabs>
          <w:tab w:val="right" w:pos="-3060"/>
          <w:tab w:val="left" w:pos="4395"/>
        </w:tabs>
        <w:ind w:right="707"/>
        <w:rPr>
          <w:sz w:val="20"/>
          <w:szCs w:val="20"/>
        </w:rPr>
      </w:pPr>
    </w:p>
    <w:p w14:paraId="2D281712" w14:textId="77777777" w:rsidR="0097787F" w:rsidRPr="00097BF0" w:rsidRDefault="0097787F" w:rsidP="0097787F">
      <w:pPr>
        <w:pStyle w:val="Governancedetail"/>
        <w:tabs>
          <w:tab w:val="left" w:pos="4536"/>
        </w:tabs>
        <w:ind w:right="707"/>
        <w:rPr>
          <w:b/>
          <w:sz w:val="22"/>
        </w:rPr>
      </w:pPr>
      <w:r w:rsidRPr="00097BF0">
        <w:rPr>
          <w:b/>
          <w:sz w:val="22"/>
        </w:rPr>
        <w:t xml:space="preserve">Supersedes: </w:t>
      </w:r>
    </w:p>
    <w:p w14:paraId="7609E9D9" w14:textId="3D180D70" w:rsidR="0097787F" w:rsidRPr="00EC582E" w:rsidRDefault="0097787F" w:rsidP="0097787F">
      <w:pPr>
        <w:ind w:right="565"/>
      </w:pPr>
      <w:r>
        <w:t xml:space="preserve">Financial Hardship Policy – Rates and Charges </w:t>
      </w:r>
      <w:r w:rsidR="0074004E">
        <w:t>2024</w:t>
      </w:r>
    </w:p>
    <w:p w14:paraId="10E07B81" w14:textId="77777777" w:rsidR="0097787F" w:rsidRPr="00097BF0" w:rsidRDefault="0097787F" w:rsidP="0097787F">
      <w:pPr>
        <w:pStyle w:val="Governancedetail"/>
        <w:tabs>
          <w:tab w:val="right" w:pos="-3060"/>
          <w:tab w:val="left" w:pos="4395"/>
        </w:tabs>
        <w:ind w:right="707"/>
        <w:rPr>
          <w:b/>
          <w:sz w:val="22"/>
        </w:rPr>
      </w:pPr>
      <w:r w:rsidRPr="00097BF0">
        <w:rPr>
          <w:b/>
          <w:sz w:val="22"/>
        </w:rPr>
        <w:t>Review History:</w:t>
      </w:r>
    </w:p>
    <w:tbl>
      <w:tblPr>
        <w:tblStyle w:val="TableGrid"/>
        <w:tblW w:w="963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89"/>
        <w:gridCol w:w="1985"/>
        <w:gridCol w:w="3401"/>
        <w:gridCol w:w="1560"/>
      </w:tblGrid>
      <w:tr w:rsidR="00DC13D7" w:rsidRPr="0097787F" w14:paraId="36833A6C" w14:textId="77777777" w:rsidTr="00DC13D7">
        <w:trPr>
          <w:trHeight w:val="220"/>
          <w:tblHeader/>
        </w:trPr>
        <w:tc>
          <w:tcPr>
            <w:tcW w:w="2689" w:type="dxa"/>
            <w:shd w:val="clear" w:color="auto" w:fill="196BAC"/>
          </w:tcPr>
          <w:bookmarkEnd w:id="32"/>
          <w:p w14:paraId="5F330B36" w14:textId="77777777" w:rsidR="00DC13D7" w:rsidRPr="0097787F" w:rsidRDefault="00DC13D7" w:rsidP="002F29A9">
            <w:pPr>
              <w:pStyle w:val="Tableheading"/>
              <w:spacing w:before="120"/>
              <w:rPr>
                <w:sz w:val="20"/>
                <w:szCs w:val="18"/>
              </w:rPr>
            </w:pPr>
            <w:r w:rsidRPr="0097787F">
              <w:rPr>
                <w:sz w:val="20"/>
                <w:szCs w:val="18"/>
              </w:rPr>
              <w:t>Version</w:t>
            </w:r>
          </w:p>
        </w:tc>
        <w:tc>
          <w:tcPr>
            <w:tcW w:w="1985" w:type="dxa"/>
            <w:shd w:val="clear" w:color="auto" w:fill="196BAC"/>
          </w:tcPr>
          <w:p w14:paraId="6432B6F2" w14:textId="5F380317" w:rsidR="00DC13D7" w:rsidRPr="0097787F" w:rsidRDefault="00DC13D7" w:rsidP="001A606A">
            <w:pPr>
              <w:pStyle w:val="Tableheading"/>
              <w:spacing w:before="120"/>
              <w:jc w:val="center"/>
              <w:rPr>
                <w:sz w:val="20"/>
                <w:szCs w:val="18"/>
              </w:rPr>
            </w:pPr>
            <w:r w:rsidRPr="0097787F">
              <w:rPr>
                <w:sz w:val="20"/>
                <w:szCs w:val="18"/>
              </w:rPr>
              <w:t>Date of approval / adoption</w:t>
            </w:r>
          </w:p>
        </w:tc>
        <w:tc>
          <w:tcPr>
            <w:tcW w:w="3401" w:type="dxa"/>
            <w:shd w:val="clear" w:color="auto" w:fill="196BAC"/>
          </w:tcPr>
          <w:p w14:paraId="347E1E77" w14:textId="77777777" w:rsidR="00DC13D7" w:rsidRPr="0097787F" w:rsidRDefault="00DC13D7" w:rsidP="001A606A">
            <w:pPr>
              <w:pStyle w:val="Tableheading"/>
              <w:spacing w:before="120"/>
              <w:jc w:val="center"/>
              <w:rPr>
                <w:sz w:val="20"/>
                <w:szCs w:val="18"/>
              </w:rPr>
            </w:pPr>
            <w:r w:rsidRPr="0097787F">
              <w:rPr>
                <w:sz w:val="20"/>
                <w:szCs w:val="18"/>
              </w:rPr>
              <w:t>Changes made</w:t>
            </w:r>
          </w:p>
        </w:tc>
        <w:tc>
          <w:tcPr>
            <w:tcW w:w="1560" w:type="dxa"/>
            <w:shd w:val="clear" w:color="auto" w:fill="196BAC"/>
          </w:tcPr>
          <w:p w14:paraId="656388C7" w14:textId="77777777" w:rsidR="00DC13D7" w:rsidRPr="0097787F" w:rsidRDefault="00DC13D7" w:rsidP="002F29A9">
            <w:pPr>
              <w:pStyle w:val="Tableheading"/>
              <w:spacing w:before="120"/>
              <w:rPr>
                <w:sz w:val="20"/>
                <w:szCs w:val="18"/>
              </w:rPr>
            </w:pPr>
            <w:r w:rsidRPr="0097787F">
              <w:rPr>
                <w:sz w:val="20"/>
                <w:szCs w:val="18"/>
              </w:rPr>
              <w:t xml:space="preserve">ECM record </w:t>
            </w:r>
          </w:p>
        </w:tc>
      </w:tr>
      <w:tr w:rsidR="00DC13D7" w:rsidRPr="00B57A19" w14:paraId="3B112E7E" w14:textId="77777777" w:rsidTr="00DC13D7">
        <w:trPr>
          <w:trHeight w:val="287"/>
        </w:trPr>
        <w:tc>
          <w:tcPr>
            <w:tcW w:w="2689" w:type="dxa"/>
          </w:tcPr>
          <w:p w14:paraId="63650BF0" w14:textId="77777777" w:rsidR="00DC13D7" w:rsidRPr="0097787F" w:rsidRDefault="00DC13D7" w:rsidP="00DC13D7">
            <w:pPr>
              <w:pStyle w:val="Tablebody"/>
              <w:spacing w:before="60" w:after="60" w:line="259" w:lineRule="auto"/>
              <w:rPr>
                <w:rFonts w:cs="Arial"/>
                <w:sz w:val="20"/>
                <w:szCs w:val="20"/>
                <w:highlight w:val="green"/>
              </w:rPr>
            </w:pPr>
            <w:r>
              <w:t>Financial Hardship Policy – Rates and Charges V1</w:t>
            </w:r>
          </w:p>
        </w:tc>
        <w:tc>
          <w:tcPr>
            <w:tcW w:w="1985" w:type="dxa"/>
          </w:tcPr>
          <w:p w14:paraId="165DCAC7" w14:textId="37F4D6ED" w:rsidR="00DC13D7" w:rsidRDefault="00DC13D7" w:rsidP="00DC13D7">
            <w:pPr>
              <w:pStyle w:val="Tablebody"/>
              <w:spacing w:before="60" w:after="60" w:line="259" w:lineRule="auto"/>
              <w:jc w:val="center"/>
            </w:pPr>
            <w:r>
              <w:t xml:space="preserve">June </w:t>
            </w:r>
            <w:r w:rsidRPr="00204983">
              <w:t>2011</w:t>
            </w:r>
          </w:p>
        </w:tc>
        <w:tc>
          <w:tcPr>
            <w:tcW w:w="3401" w:type="dxa"/>
          </w:tcPr>
          <w:p w14:paraId="47609984" w14:textId="77777777" w:rsidR="00DC13D7" w:rsidRPr="00DC13D7" w:rsidRDefault="00DC13D7" w:rsidP="00DC13D7">
            <w:pPr>
              <w:rPr>
                <w:sz w:val="20"/>
                <w:szCs w:val="20"/>
              </w:rPr>
            </w:pPr>
            <w:r w:rsidRPr="00DC13D7">
              <w:rPr>
                <w:sz w:val="20"/>
                <w:szCs w:val="20"/>
              </w:rPr>
              <w:t>Including Emergency relief – implementation policy and procedures</w:t>
            </w:r>
          </w:p>
          <w:p w14:paraId="13D147E2" w14:textId="54222A24" w:rsidR="00DC13D7" w:rsidRPr="00DC13D7" w:rsidRDefault="00DC13D7" w:rsidP="00DC13D7">
            <w:pPr>
              <w:pStyle w:val="Tablebody"/>
              <w:spacing w:before="60" w:after="60" w:line="259" w:lineRule="auto"/>
              <w:rPr>
                <w:rFonts w:cs="Arial"/>
                <w:bCs w:val="0"/>
                <w:sz w:val="20"/>
                <w:szCs w:val="20"/>
                <w:highlight w:val="green"/>
              </w:rPr>
            </w:pPr>
          </w:p>
        </w:tc>
        <w:tc>
          <w:tcPr>
            <w:tcW w:w="1560" w:type="dxa"/>
          </w:tcPr>
          <w:p w14:paraId="6CBA1DAC" w14:textId="3224CEB0" w:rsidR="00DC13D7" w:rsidRPr="002A48A1" w:rsidRDefault="00DC13D7" w:rsidP="00DC13D7">
            <w:pPr>
              <w:pStyle w:val="Tablebody"/>
              <w:spacing w:before="60" w:after="60" w:line="259" w:lineRule="auto"/>
              <w:rPr>
                <w:rFonts w:cs="Arial"/>
                <w:sz w:val="20"/>
                <w:szCs w:val="20"/>
              </w:rPr>
            </w:pPr>
            <w:r>
              <w:t>E42605/18</w:t>
            </w:r>
          </w:p>
        </w:tc>
      </w:tr>
      <w:tr w:rsidR="00DC13D7" w:rsidRPr="00B57A19" w14:paraId="53923363" w14:textId="77777777" w:rsidTr="00DC13D7">
        <w:trPr>
          <w:trHeight w:val="287"/>
        </w:trPr>
        <w:tc>
          <w:tcPr>
            <w:tcW w:w="2689" w:type="dxa"/>
          </w:tcPr>
          <w:p w14:paraId="1D317DE7" w14:textId="77777777" w:rsidR="00DC13D7" w:rsidRPr="002A48A1" w:rsidRDefault="00DC13D7" w:rsidP="00DC13D7">
            <w:pPr>
              <w:pStyle w:val="Tablebody"/>
              <w:spacing w:before="60" w:after="60" w:line="259" w:lineRule="auto"/>
              <w:rPr>
                <w:rFonts w:cs="Arial"/>
                <w:sz w:val="20"/>
                <w:szCs w:val="20"/>
              </w:rPr>
            </w:pPr>
            <w:r>
              <w:t>Financial Hardship Policy Rates and Charges V2</w:t>
            </w:r>
          </w:p>
        </w:tc>
        <w:tc>
          <w:tcPr>
            <w:tcW w:w="1985" w:type="dxa"/>
          </w:tcPr>
          <w:p w14:paraId="50839166" w14:textId="3C830C7A" w:rsidR="00DC13D7" w:rsidRDefault="00DC13D7" w:rsidP="00DC13D7">
            <w:pPr>
              <w:pStyle w:val="Tablebody"/>
              <w:spacing w:before="60" w:after="60" w:line="259" w:lineRule="auto"/>
              <w:jc w:val="center"/>
            </w:pPr>
            <w:r>
              <w:t>August 2020</w:t>
            </w:r>
          </w:p>
        </w:tc>
        <w:tc>
          <w:tcPr>
            <w:tcW w:w="3401" w:type="dxa"/>
          </w:tcPr>
          <w:p w14:paraId="3CC68036" w14:textId="5FEE3D62" w:rsidR="00DC13D7" w:rsidRPr="00DC13D7" w:rsidRDefault="00DC13D7" w:rsidP="00DC13D7">
            <w:pPr>
              <w:pStyle w:val="Tablebody"/>
              <w:spacing w:before="60" w:after="60" w:line="259" w:lineRule="auto"/>
              <w:rPr>
                <w:rFonts w:cs="Arial"/>
                <w:bCs w:val="0"/>
                <w:sz w:val="20"/>
                <w:szCs w:val="20"/>
              </w:rPr>
            </w:pPr>
            <w:r w:rsidRPr="00DC13D7">
              <w:rPr>
                <w:bCs w:val="0"/>
                <w:sz w:val="20"/>
                <w:szCs w:val="20"/>
              </w:rPr>
              <w:t>Updated to reflect Council decision 25 March 2020</w:t>
            </w:r>
          </w:p>
        </w:tc>
        <w:tc>
          <w:tcPr>
            <w:tcW w:w="1560" w:type="dxa"/>
          </w:tcPr>
          <w:p w14:paraId="26317CEC" w14:textId="491A0EA7" w:rsidR="00DC13D7" w:rsidRPr="002A48A1" w:rsidRDefault="00DC13D7" w:rsidP="00DC13D7">
            <w:pPr>
              <w:pStyle w:val="Tablebody"/>
              <w:spacing w:before="60" w:after="60" w:line="259" w:lineRule="auto"/>
              <w:rPr>
                <w:rFonts w:cs="Arial"/>
                <w:sz w:val="20"/>
                <w:szCs w:val="20"/>
              </w:rPr>
            </w:pPr>
            <w:r>
              <w:t>E53547/20</w:t>
            </w:r>
          </w:p>
        </w:tc>
      </w:tr>
      <w:tr w:rsidR="00DC13D7" w:rsidRPr="00B57A19" w14:paraId="5006044D" w14:textId="77777777" w:rsidTr="00DC13D7">
        <w:trPr>
          <w:trHeight w:val="287"/>
        </w:trPr>
        <w:tc>
          <w:tcPr>
            <w:tcW w:w="2689" w:type="dxa"/>
          </w:tcPr>
          <w:p w14:paraId="2ACA4C03" w14:textId="77777777" w:rsidR="00DC13D7" w:rsidRPr="002A48A1" w:rsidRDefault="00DC13D7" w:rsidP="00DC13D7">
            <w:pPr>
              <w:pStyle w:val="Tablebody"/>
              <w:spacing w:before="60" w:after="60" w:line="259" w:lineRule="auto"/>
              <w:rPr>
                <w:rFonts w:cs="Arial"/>
                <w:sz w:val="20"/>
                <w:szCs w:val="20"/>
              </w:rPr>
            </w:pPr>
            <w:r>
              <w:t>Financial Hardship Policy Rates and Charges V3</w:t>
            </w:r>
          </w:p>
        </w:tc>
        <w:tc>
          <w:tcPr>
            <w:tcW w:w="1985" w:type="dxa"/>
          </w:tcPr>
          <w:p w14:paraId="063909BB" w14:textId="558E6E16" w:rsidR="00DC13D7" w:rsidRDefault="00DC13D7" w:rsidP="00DC13D7">
            <w:pPr>
              <w:pStyle w:val="Tablebody"/>
              <w:spacing w:before="60" w:after="60" w:line="259" w:lineRule="auto"/>
              <w:jc w:val="center"/>
            </w:pPr>
            <w:r>
              <w:t>August 2021</w:t>
            </w:r>
          </w:p>
        </w:tc>
        <w:tc>
          <w:tcPr>
            <w:tcW w:w="3401" w:type="dxa"/>
          </w:tcPr>
          <w:p w14:paraId="0A98B9AD" w14:textId="51B5D009" w:rsidR="00DC13D7" w:rsidRPr="00DC13D7" w:rsidRDefault="00DC13D7" w:rsidP="00DC13D7">
            <w:pPr>
              <w:pStyle w:val="Tablebody"/>
              <w:spacing w:before="60" w:after="60" w:line="259" w:lineRule="auto"/>
              <w:rPr>
                <w:rFonts w:cs="Arial"/>
                <w:bCs w:val="0"/>
                <w:sz w:val="20"/>
                <w:szCs w:val="20"/>
              </w:rPr>
            </w:pPr>
            <w:r w:rsidRPr="00DC13D7">
              <w:rPr>
                <w:bCs w:val="0"/>
                <w:sz w:val="20"/>
                <w:szCs w:val="20"/>
              </w:rPr>
              <w:t>As per Council Plan &amp; Budget 2021-31 (Year 1)</w:t>
            </w:r>
          </w:p>
        </w:tc>
        <w:tc>
          <w:tcPr>
            <w:tcW w:w="1560" w:type="dxa"/>
          </w:tcPr>
          <w:p w14:paraId="2017E702" w14:textId="07B0F8E9" w:rsidR="00DC13D7" w:rsidRPr="002A48A1" w:rsidRDefault="00DC13D7" w:rsidP="00DC13D7">
            <w:pPr>
              <w:pStyle w:val="Tablebody"/>
              <w:spacing w:before="60" w:after="60" w:line="259" w:lineRule="auto"/>
              <w:rPr>
                <w:rFonts w:cs="Arial"/>
                <w:sz w:val="20"/>
                <w:szCs w:val="20"/>
              </w:rPr>
            </w:pPr>
            <w:r>
              <w:t>6584446</w:t>
            </w:r>
          </w:p>
        </w:tc>
      </w:tr>
      <w:tr w:rsidR="00DC13D7" w:rsidRPr="00B57A19" w14:paraId="61BD1A9F" w14:textId="77777777" w:rsidTr="00DC13D7">
        <w:trPr>
          <w:trHeight w:val="287"/>
        </w:trPr>
        <w:tc>
          <w:tcPr>
            <w:tcW w:w="2689" w:type="dxa"/>
          </w:tcPr>
          <w:p w14:paraId="29E68493" w14:textId="43268B0F" w:rsidR="00DC13D7" w:rsidRDefault="00DC13D7" w:rsidP="00DC13D7">
            <w:pPr>
              <w:pStyle w:val="Tablebody"/>
              <w:spacing w:before="60" w:after="60" w:line="259" w:lineRule="auto"/>
            </w:pPr>
            <w:r>
              <w:t>Financial Hardship Policy Rates and Charges V4</w:t>
            </w:r>
          </w:p>
        </w:tc>
        <w:tc>
          <w:tcPr>
            <w:tcW w:w="1985" w:type="dxa"/>
          </w:tcPr>
          <w:p w14:paraId="4C3EC701" w14:textId="6F7AE8DD" w:rsidR="00DC13D7" w:rsidRDefault="00DC13D7" w:rsidP="00DC13D7">
            <w:pPr>
              <w:pStyle w:val="Tablebody"/>
              <w:spacing w:before="60" w:after="60" w:line="259" w:lineRule="auto"/>
              <w:jc w:val="center"/>
            </w:pPr>
            <w:r>
              <w:t>August 2022</w:t>
            </w:r>
          </w:p>
        </w:tc>
        <w:tc>
          <w:tcPr>
            <w:tcW w:w="3401" w:type="dxa"/>
          </w:tcPr>
          <w:p w14:paraId="333538BE" w14:textId="46FAD7A4" w:rsidR="00DC13D7" w:rsidRPr="00DC13D7" w:rsidRDefault="00DC13D7" w:rsidP="00DC13D7">
            <w:pPr>
              <w:pStyle w:val="Tablebody"/>
              <w:spacing w:before="60" w:after="60" w:line="259" w:lineRule="auto"/>
              <w:rPr>
                <w:bCs w:val="0"/>
              </w:rPr>
            </w:pPr>
            <w:r w:rsidRPr="00DC13D7">
              <w:rPr>
                <w:bCs w:val="0"/>
                <w:sz w:val="20"/>
                <w:szCs w:val="20"/>
              </w:rPr>
              <w:t>Annual update based on decision by Council.</w:t>
            </w:r>
          </w:p>
        </w:tc>
        <w:tc>
          <w:tcPr>
            <w:tcW w:w="1560" w:type="dxa"/>
          </w:tcPr>
          <w:p w14:paraId="1BCEA5D8" w14:textId="2B49A6C3" w:rsidR="00DC13D7" w:rsidRDefault="00DC13D7" w:rsidP="00DC13D7">
            <w:pPr>
              <w:pStyle w:val="Tablebody"/>
              <w:spacing w:before="60" w:after="60" w:line="259" w:lineRule="auto"/>
              <w:rPr>
                <w:b/>
                <w:sz w:val="20"/>
                <w:szCs w:val="20"/>
              </w:rPr>
            </w:pPr>
            <w:r>
              <w:t>6584354</w:t>
            </w:r>
          </w:p>
        </w:tc>
      </w:tr>
      <w:tr w:rsidR="00DC13D7" w:rsidRPr="00B57A19" w14:paraId="5495F412" w14:textId="77777777" w:rsidTr="00DC13D7">
        <w:trPr>
          <w:trHeight w:val="287"/>
        </w:trPr>
        <w:tc>
          <w:tcPr>
            <w:tcW w:w="2689" w:type="dxa"/>
          </w:tcPr>
          <w:p w14:paraId="3AE3799B" w14:textId="4E45B7ED" w:rsidR="00DC13D7" w:rsidRDefault="00DC13D7" w:rsidP="00DC13D7">
            <w:pPr>
              <w:pStyle w:val="Tablebody"/>
              <w:spacing w:before="60" w:after="60" w:line="259" w:lineRule="auto"/>
            </w:pPr>
            <w:r>
              <w:t>Financial Hardship Policy Rates and Charges V5</w:t>
            </w:r>
          </w:p>
        </w:tc>
        <w:tc>
          <w:tcPr>
            <w:tcW w:w="1985" w:type="dxa"/>
          </w:tcPr>
          <w:p w14:paraId="40E346B7" w14:textId="5944612B" w:rsidR="00DC13D7" w:rsidRDefault="00DC13D7" w:rsidP="00DC13D7">
            <w:pPr>
              <w:pStyle w:val="Tablebody"/>
              <w:spacing w:before="60" w:after="60" w:line="259" w:lineRule="auto"/>
              <w:jc w:val="center"/>
            </w:pPr>
            <w:r>
              <w:t>September 2025</w:t>
            </w:r>
          </w:p>
        </w:tc>
        <w:tc>
          <w:tcPr>
            <w:tcW w:w="3401" w:type="dxa"/>
          </w:tcPr>
          <w:p w14:paraId="45CA0BD7" w14:textId="202F7769" w:rsidR="00DC13D7" w:rsidRPr="00DC13D7" w:rsidRDefault="00DC13D7" w:rsidP="00DC13D7">
            <w:pPr>
              <w:pStyle w:val="Tablebody"/>
              <w:spacing w:before="60" w:after="60" w:line="259" w:lineRule="auto"/>
              <w:rPr>
                <w:bCs w:val="0"/>
              </w:rPr>
            </w:pPr>
            <w:r w:rsidRPr="00DC13D7">
              <w:rPr>
                <w:bCs w:val="0"/>
                <w:sz w:val="20"/>
                <w:szCs w:val="20"/>
              </w:rPr>
              <w:t>Updated with new template and additional sub-delegation.</w:t>
            </w:r>
          </w:p>
        </w:tc>
        <w:tc>
          <w:tcPr>
            <w:tcW w:w="1560" w:type="dxa"/>
          </w:tcPr>
          <w:p w14:paraId="7335088D" w14:textId="3A8E2C1D" w:rsidR="00DC13D7" w:rsidRDefault="00DC13D7" w:rsidP="00DC13D7">
            <w:pPr>
              <w:pStyle w:val="Tablebody"/>
              <w:spacing w:before="60" w:after="60" w:line="259" w:lineRule="auto"/>
              <w:rPr>
                <w:b/>
                <w:sz w:val="20"/>
                <w:szCs w:val="20"/>
              </w:rPr>
            </w:pPr>
          </w:p>
        </w:tc>
      </w:tr>
    </w:tbl>
    <w:p w14:paraId="69AD6927" w14:textId="77777777" w:rsidR="0097787F" w:rsidRDefault="0097787F" w:rsidP="00D851BE">
      <w:pPr>
        <w:rPr>
          <w:rStyle w:val="eop"/>
          <w:color w:val="000000"/>
          <w:shd w:val="clear" w:color="auto" w:fill="FFFFFF"/>
        </w:rPr>
      </w:pPr>
    </w:p>
    <w:p w14:paraId="0E9457F8" w14:textId="77777777" w:rsidR="00BA070B" w:rsidRPr="002F51B4" w:rsidRDefault="00BA070B" w:rsidP="00BA070B"/>
    <w:sectPr w:rsidR="00BA070B" w:rsidRPr="002F51B4" w:rsidSect="009E6106">
      <w:pgSz w:w="11906" w:h="16838"/>
      <w:pgMar w:top="2552" w:right="1134" w:bottom="709"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71950" w14:textId="77777777" w:rsidR="007D0E20" w:rsidRDefault="007D0E20" w:rsidP="003C2590">
      <w:pPr>
        <w:spacing w:after="0" w:line="240" w:lineRule="auto"/>
      </w:pPr>
      <w:r>
        <w:separator/>
      </w:r>
    </w:p>
    <w:p w14:paraId="50F2EF7F" w14:textId="77777777" w:rsidR="007D0E20" w:rsidRDefault="007D0E20"/>
    <w:p w14:paraId="12DAC863" w14:textId="77777777" w:rsidR="007D0E20" w:rsidRDefault="007D0E20" w:rsidP="00614F7B"/>
  </w:endnote>
  <w:endnote w:type="continuationSeparator" w:id="0">
    <w:p w14:paraId="14EC58D9" w14:textId="77777777" w:rsidR="007D0E20" w:rsidRDefault="007D0E20" w:rsidP="003C2590">
      <w:pPr>
        <w:spacing w:after="0" w:line="240" w:lineRule="auto"/>
      </w:pPr>
      <w:r>
        <w:continuationSeparator/>
      </w:r>
    </w:p>
    <w:p w14:paraId="4A193900" w14:textId="77777777" w:rsidR="007D0E20" w:rsidRDefault="007D0E20"/>
    <w:p w14:paraId="44AC895F" w14:textId="77777777" w:rsidR="007D0E20" w:rsidRDefault="007D0E20" w:rsidP="00614F7B"/>
  </w:endnote>
  <w:endnote w:type="continuationNotice" w:id="1">
    <w:p w14:paraId="7A1A3CA9" w14:textId="77777777" w:rsidR="007D0E20" w:rsidRDefault="007D0E20">
      <w:pPr>
        <w:spacing w:after="0" w:line="240" w:lineRule="auto"/>
      </w:pPr>
    </w:p>
    <w:p w14:paraId="5B961EFF" w14:textId="77777777" w:rsidR="007D0E20" w:rsidRDefault="007D0E20"/>
    <w:p w14:paraId="2930035D" w14:textId="77777777" w:rsidR="007D0E20" w:rsidRDefault="007D0E20" w:rsidP="00614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833871"/>
      <w:docPartObj>
        <w:docPartGallery w:val="Page Numbers (Bottom of Page)"/>
        <w:docPartUnique/>
      </w:docPartObj>
    </w:sdtPr>
    <w:sdtEndPr>
      <w:rPr>
        <w:rFonts w:cs="Arial"/>
        <w:noProof/>
        <w:sz w:val="20"/>
        <w:szCs w:val="20"/>
      </w:rPr>
    </w:sdtEndPr>
    <w:sdtContent>
      <w:p w14:paraId="6C40328D" w14:textId="10EC763A" w:rsidR="00343A30" w:rsidRPr="00343A30" w:rsidRDefault="00343A30" w:rsidP="00343A30">
        <w:pPr>
          <w:pStyle w:val="Footer"/>
          <w:jc w:val="right"/>
          <w:rPr>
            <w:rFonts w:cs="Arial"/>
            <w:sz w:val="20"/>
            <w:szCs w:val="20"/>
          </w:rPr>
        </w:pPr>
        <w:r w:rsidRPr="00343A30">
          <w:rPr>
            <w:rFonts w:cs="Arial"/>
            <w:sz w:val="20"/>
            <w:szCs w:val="20"/>
          </w:rPr>
          <w:fldChar w:fldCharType="begin"/>
        </w:r>
        <w:r w:rsidRPr="00343A30">
          <w:rPr>
            <w:rFonts w:cs="Arial"/>
            <w:sz w:val="20"/>
            <w:szCs w:val="20"/>
          </w:rPr>
          <w:instrText xml:space="preserve"> PAGE   \* MERGEFORMAT </w:instrText>
        </w:r>
        <w:r w:rsidRPr="00343A30">
          <w:rPr>
            <w:rFonts w:cs="Arial"/>
            <w:sz w:val="20"/>
            <w:szCs w:val="20"/>
          </w:rPr>
          <w:fldChar w:fldCharType="separate"/>
        </w:r>
        <w:r w:rsidRPr="00343A30">
          <w:rPr>
            <w:rFonts w:cs="Arial"/>
            <w:noProof/>
            <w:sz w:val="20"/>
            <w:szCs w:val="20"/>
          </w:rPr>
          <w:t>2</w:t>
        </w:r>
        <w:r w:rsidRPr="00343A30">
          <w:rPr>
            <w:rFonts w:cs="Arial"/>
            <w:noProof/>
            <w:sz w:val="20"/>
            <w:szCs w:val="20"/>
          </w:rPr>
          <w:fldChar w:fldCharType="end"/>
        </w:r>
      </w:p>
    </w:sdtContent>
  </w:sdt>
  <w:p w14:paraId="2BC7BB52" w14:textId="77777777" w:rsidR="00365258" w:rsidRDefault="00365258"/>
  <w:p w14:paraId="55800245" w14:textId="77777777" w:rsidR="00365258" w:rsidRDefault="003652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384641"/>
      <w:docPartObj>
        <w:docPartGallery w:val="Page Numbers (Bottom of Page)"/>
        <w:docPartUnique/>
      </w:docPartObj>
    </w:sdtPr>
    <w:sdtEndPr>
      <w:rPr>
        <w:rFonts w:cs="Arial"/>
        <w:noProof/>
        <w:sz w:val="20"/>
        <w:szCs w:val="20"/>
      </w:rPr>
    </w:sdtEndPr>
    <w:sdtContent>
      <w:p w14:paraId="342E3ACC" w14:textId="7DD7CF53" w:rsidR="00343A30" w:rsidRPr="00343A30" w:rsidRDefault="00343A30" w:rsidP="00343A30">
        <w:pPr>
          <w:pStyle w:val="Footer"/>
          <w:jc w:val="right"/>
          <w:rPr>
            <w:rFonts w:cs="Arial"/>
            <w:sz w:val="20"/>
            <w:szCs w:val="20"/>
          </w:rPr>
        </w:pPr>
        <w:r w:rsidRPr="00343A30">
          <w:rPr>
            <w:rFonts w:cs="Arial"/>
            <w:sz w:val="20"/>
            <w:szCs w:val="20"/>
          </w:rPr>
          <w:fldChar w:fldCharType="begin"/>
        </w:r>
        <w:r w:rsidRPr="00343A30">
          <w:rPr>
            <w:rFonts w:cs="Arial"/>
            <w:sz w:val="20"/>
            <w:szCs w:val="20"/>
          </w:rPr>
          <w:instrText xml:space="preserve"> PAGE   \* MERGEFORMAT </w:instrText>
        </w:r>
        <w:r w:rsidRPr="00343A30">
          <w:rPr>
            <w:rFonts w:cs="Arial"/>
            <w:sz w:val="20"/>
            <w:szCs w:val="20"/>
          </w:rPr>
          <w:fldChar w:fldCharType="separate"/>
        </w:r>
        <w:r w:rsidRPr="00343A30">
          <w:rPr>
            <w:rFonts w:cs="Arial"/>
            <w:noProof/>
            <w:sz w:val="20"/>
            <w:szCs w:val="20"/>
          </w:rPr>
          <w:t>2</w:t>
        </w:r>
        <w:r w:rsidRPr="00343A30">
          <w:rPr>
            <w:rFonts w:cs="Arial"/>
            <w:noProof/>
            <w:sz w:val="20"/>
            <w:szCs w:val="20"/>
          </w:rPr>
          <w:fldChar w:fldCharType="end"/>
        </w:r>
      </w:p>
    </w:sdtContent>
  </w:sdt>
  <w:p w14:paraId="6CDCE7AD" w14:textId="77777777" w:rsidR="00365258" w:rsidRDefault="00365258"/>
  <w:p w14:paraId="758756F3" w14:textId="77777777" w:rsidR="00365258" w:rsidRDefault="003652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0E13" w14:textId="77777777" w:rsidR="007D0E20" w:rsidRDefault="007D0E20" w:rsidP="003C2590">
      <w:pPr>
        <w:spacing w:after="0" w:line="240" w:lineRule="auto"/>
      </w:pPr>
      <w:r>
        <w:separator/>
      </w:r>
    </w:p>
    <w:p w14:paraId="7716B1F6" w14:textId="77777777" w:rsidR="007D0E20" w:rsidRDefault="007D0E20"/>
    <w:p w14:paraId="3CB61A03" w14:textId="77777777" w:rsidR="007D0E20" w:rsidRDefault="007D0E20" w:rsidP="00614F7B"/>
  </w:footnote>
  <w:footnote w:type="continuationSeparator" w:id="0">
    <w:p w14:paraId="68741969" w14:textId="77777777" w:rsidR="007D0E20" w:rsidRDefault="007D0E20" w:rsidP="003C2590">
      <w:pPr>
        <w:spacing w:after="0" w:line="240" w:lineRule="auto"/>
      </w:pPr>
      <w:r>
        <w:continuationSeparator/>
      </w:r>
    </w:p>
    <w:p w14:paraId="48FFB76C" w14:textId="77777777" w:rsidR="007D0E20" w:rsidRDefault="007D0E20"/>
    <w:p w14:paraId="152C81C1" w14:textId="77777777" w:rsidR="007D0E20" w:rsidRDefault="007D0E20" w:rsidP="00614F7B"/>
  </w:footnote>
  <w:footnote w:type="continuationNotice" w:id="1">
    <w:p w14:paraId="61F0742E" w14:textId="77777777" w:rsidR="007D0E20" w:rsidRDefault="007D0E20">
      <w:pPr>
        <w:spacing w:after="0" w:line="240" w:lineRule="auto"/>
      </w:pPr>
    </w:p>
    <w:p w14:paraId="60A5F1AF" w14:textId="77777777" w:rsidR="007D0E20" w:rsidRDefault="007D0E20"/>
    <w:p w14:paraId="5935B2C5" w14:textId="77777777" w:rsidR="007D0E20" w:rsidRDefault="007D0E20" w:rsidP="00614F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BCD7" w14:textId="1B08A0B9" w:rsidR="00343A30" w:rsidRPr="00D66572" w:rsidRDefault="00343A30" w:rsidP="00343A30">
    <w:pPr>
      <w:tabs>
        <w:tab w:val="left" w:pos="-3060"/>
        <w:tab w:val="left" w:pos="-2340"/>
        <w:tab w:val="center" w:pos="4819"/>
        <w:tab w:val="left" w:pos="6300"/>
      </w:tabs>
      <w:suppressAutoHyphens/>
      <w:spacing w:before="480" w:after="120" w:line="288" w:lineRule="auto"/>
      <w:rPr>
        <w:sz w:val="24"/>
        <w:szCs w:val="24"/>
      </w:rPr>
    </w:pPr>
    <w:r w:rsidRPr="00D66572">
      <w:rPr>
        <w:rFonts w:eastAsia="Times New Roman" w:cs="Arial"/>
        <w:noProof/>
        <w:color w:val="FFFFFF" w:themeColor="background1"/>
        <w:sz w:val="24"/>
        <w:szCs w:val="24"/>
        <w:lang w:eastAsia="en-AU"/>
      </w:rPr>
      <w:drawing>
        <wp:anchor distT="0" distB="0" distL="114300" distR="114300" simplePos="0" relativeHeight="251658241" behindDoc="1" locked="1" layoutInCell="1" allowOverlap="1" wp14:anchorId="310D235C" wp14:editId="601255D7">
          <wp:simplePos x="0" y="0"/>
          <wp:positionH relativeFrom="page">
            <wp:align>left</wp:align>
          </wp:positionH>
          <wp:positionV relativeFrom="page">
            <wp:align>top</wp:align>
          </wp:positionV>
          <wp:extent cx="15119985" cy="1436370"/>
          <wp:effectExtent l="0" t="0" r="5715" b="0"/>
          <wp:wrapNone/>
          <wp:docPr id="1488294251" name="Picture 1488294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P_Pre-budget-submission_0820_LAYOUT_2.png"/>
                  <pic:cNvPicPr/>
                </pic:nvPicPr>
                <pic:blipFill>
                  <a:blip r:embed="rId1"/>
                  <a:stretch>
                    <a:fillRect/>
                  </a:stretch>
                </pic:blipFill>
                <pic:spPr>
                  <a:xfrm>
                    <a:off x="0" y="0"/>
                    <a:ext cx="15119985" cy="1436370"/>
                  </a:xfrm>
                  <a:prstGeom prst="rect">
                    <a:avLst/>
                  </a:prstGeom>
                </pic:spPr>
              </pic:pic>
            </a:graphicData>
          </a:graphic>
          <wp14:sizeRelH relativeFrom="margin">
            <wp14:pctWidth>0</wp14:pctWidth>
          </wp14:sizeRelH>
          <wp14:sizeRelV relativeFrom="margin">
            <wp14:pctHeight>0</wp14:pctHeight>
          </wp14:sizeRelV>
        </wp:anchor>
      </w:drawing>
    </w:r>
    <w:r w:rsidRPr="00D66572">
      <w:rPr>
        <w:rFonts w:eastAsia="Times New Roman" w:cs="Arial"/>
        <w:noProof/>
        <w:color w:val="FFFFFF" w:themeColor="background1"/>
        <w:sz w:val="24"/>
        <w:szCs w:val="24"/>
        <w:lang w:eastAsia="en-AU"/>
      </w:rPr>
      <w:drawing>
        <wp:anchor distT="0" distB="0" distL="114300" distR="114300" simplePos="0" relativeHeight="251658240" behindDoc="1" locked="1" layoutInCell="1" allowOverlap="1" wp14:anchorId="2BAE3C60" wp14:editId="3628646E">
          <wp:simplePos x="0" y="0"/>
          <wp:positionH relativeFrom="page">
            <wp:align>left</wp:align>
          </wp:positionH>
          <wp:positionV relativeFrom="page">
            <wp:align>top</wp:align>
          </wp:positionV>
          <wp:extent cx="15119985" cy="1436370"/>
          <wp:effectExtent l="0" t="0" r="5715" b="0"/>
          <wp:wrapNone/>
          <wp:docPr id="1285431597" name="Picture 128543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P_Pre-budget-submission_0820_LAYOUT_2.png"/>
                  <pic:cNvPicPr/>
                </pic:nvPicPr>
                <pic:blipFill>
                  <a:blip r:embed="rId1"/>
                  <a:stretch>
                    <a:fillRect/>
                  </a:stretch>
                </pic:blipFill>
                <pic:spPr>
                  <a:xfrm>
                    <a:off x="0" y="0"/>
                    <a:ext cx="15119985" cy="1436370"/>
                  </a:xfrm>
                  <a:prstGeom prst="rect">
                    <a:avLst/>
                  </a:prstGeom>
                </pic:spPr>
              </pic:pic>
            </a:graphicData>
          </a:graphic>
          <wp14:sizeRelH relativeFrom="margin">
            <wp14:pctWidth>0</wp14:pctWidth>
          </wp14:sizeRelH>
          <wp14:sizeRelV relativeFrom="margin">
            <wp14:pctHeight>0</wp14:pctHeight>
          </wp14:sizeRelV>
        </wp:anchor>
      </w:drawing>
    </w:r>
    <w:r w:rsidR="00EE392D">
      <w:rPr>
        <w:rFonts w:eastAsia="Times New Roman" w:cs="Arial"/>
        <w:color w:val="FFFFFF" w:themeColor="background1"/>
        <w:sz w:val="24"/>
        <w:szCs w:val="24"/>
        <w:lang w:eastAsia="en-AU"/>
      </w:rPr>
      <w:t>Financial Hardship Policy – Rates and Charges</w:t>
    </w:r>
  </w:p>
  <w:p w14:paraId="0F4B3C3B" w14:textId="77777777" w:rsidR="00365258" w:rsidRDefault="00365258"/>
  <w:p w14:paraId="030C7EFE" w14:textId="77777777" w:rsidR="00365258" w:rsidRDefault="003652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E615" w14:textId="29887642" w:rsidR="003C2590" w:rsidRPr="00343A30" w:rsidRDefault="00343A30" w:rsidP="00343A30">
    <w:pPr>
      <w:pStyle w:val="Header"/>
      <w:jc w:val="right"/>
    </w:pPr>
    <w:r>
      <w:rPr>
        <w:noProof/>
        <w:lang w:eastAsia="en-AU"/>
      </w:rPr>
      <w:drawing>
        <wp:inline distT="0" distB="0" distL="0" distR="0" wp14:anchorId="732D93F2" wp14:editId="3691A02E">
          <wp:extent cx="1028700" cy="1028700"/>
          <wp:effectExtent l="0" t="0" r="0" b="0"/>
          <wp:docPr id="635800081" name="Picture 635800081" descr="Logo The City of Port Phil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P_LOGO_4C_R.gif"/>
                  <pic:cNvPicPr/>
                </pic:nvPicPr>
                <pic:blipFill>
                  <a:blip r:embed="rId1">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rPr>
        <w:noProof/>
        <w:lang w:eastAsia="en-AU"/>
      </w:rPr>
      <w:drawing>
        <wp:anchor distT="0" distB="0" distL="114300" distR="114300" simplePos="0" relativeHeight="251658242" behindDoc="1" locked="1" layoutInCell="1" allowOverlap="1" wp14:anchorId="1D9FDB7B" wp14:editId="28E9F989">
          <wp:simplePos x="0" y="0"/>
          <wp:positionH relativeFrom="page">
            <wp:align>left</wp:align>
          </wp:positionH>
          <wp:positionV relativeFrom="page">
            <wp:align>top</wp:align>
          </wp:positionV>
          <wp:extent cx="7568565" cy="2884170"/>
          <wp:effectExtent l="0" t="0" r="0" b="0"/>
          <wp:wrapNone/>
          <wp:docPr id="1437487742" name="Picture 1437487742" descr="Decorativ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P_MEDIA-RELEASE_0717.gif"/>
                  <pic:cNvPicPr/>
                </pic:nvPicPr>
                <pic:blipFill>
                  <a:blip r:embed="rId3">
                    <a:extLst>
                      <a:ext uri="{28A0092B-C50C-407E-A947-70E740481C1C}">
                        <a14:useLocalDpi xmlns:a14="http://schemas.microsoft.com/office/drawing/2010/main" val="0"/>
                      </a:ext>
                    </a:extLst>
                  </a:blip>
                  <a:stretch>
                    <a:fillRect/>
                  </a:stretch>
                </pic:blipFill>
                <pic:spPr>
                  <a:xfrm>
                    <a:off x="0" y="0"/>
                    <a:ext cx="7568565" cy="2884170"/>
                  </a:xfrm>
                  <a:prstGeom prst="rect">
                    <a:avLst/>
                  </a:prstGeom>
                </pic:spPr>
              </pic:pic>
            </a:graphicData>
          </a:graphic>
          <wp14:sizeRelH relativeFrom="page">
            <wp14:pctWidth>0</wp14:pctWidth>
          </wp14:sizeRelH>
          <wp14:sizeRelV relativeFrom="page">
            <wp14:pctHeight>0</wp14:pctHeight>
          </wp14:sizeRelV>
        </wp:anchor>
      </w:drawing>
    </w:r>
  </w:p>
  <w:p w14:paraId="022FEE88" w14:textId="77777777" w:rsidR="00365258" w:rsidRDefault="00365258"/>
  <w:p w14:paraId="2E3F60F1" w14:textId="77777777" w:rsidR="00365258" w:rsidRDefault="00365258"/>
  <w:p w14:paraId="457FDA8C" w14:textId="77777777" w:rsidR="00365258" w:rsidRDefault="003652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7244"/>
    <w:multiLevelType w:val="hybridMultilevel"/>
    <w:tmpl w:val="B8BA651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6126128"/>
    <w:multiLevelType w:val="multilevel"/>
    <w:tmpl w:val="3D16F98A"/>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20" w:hanging="720"/>
      </w:pPr>
      <w:rPr>
        <w:rFonts w:hint="default"/>
        <w:b/>
        <w:bCs/>
        <w:sz w:val="28"/>
        <w:szCs w:val="28"/>
      </w:rPr>
    </w:lvl>
    <w:lvl w:ilvl="2">
      <w:start w:val="1"/>
      <w:numFmt w:val="decimal"/>
      <w:pStyle w:val="Heading3"/>
      <w:isLgl/>
      <w:lvlText w:val="%1.%2.%3."/>
      <w:lvlJc w:val="left"/>
      <w:pPr>
        <w:ind w:left="554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AB41806"/>
    <w:multiLevelType w:val="hybridMultilevel"/>
    <w:tmpl w:val="87B0D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2164FC"/>
    <w:multiLevelType w:val="hybridMultilevel"/>
    <w:tmpl w:val="1A36DB12"/>
    <w:lvl w:ilvl="0" w:tplc="0C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FCB66A0"/>
    <w:multiLevelType w:val="hybridMultilevel"/>
    <w:tmpl w:val="2B827E0C"/>
    <w:lvl w:ilvl="0" w:tplc="0B66CE0C">
      <w:start w:val="1"/>
      <w:numFmt w:val="bullet"/>
      <w:pStyle w:val="Norm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0C2FF3"/>
    <w:multiLevelType w:val="hybridMultilevel"/>
    <w:tmpl w:val="8D905520"/>
    <w:lvl w:ilvl="0" w:tplc="6254BC1C">
      <w:start w:val="1"/>
      <w:numFmt w:val="bullet"/>
      <w:pStyle w:val="BULLETS"/>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0D64E47"/>
    <w:multiLevelType w:val="hybridMultilevel"/>
    <w:tmpl w:val="7A7EA448"/>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3174620A"/>
    <w:multiLevelType w:val="hybridMultilevel"/>
    <w:tmpl w:val="2AD0F8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AB1DD1"/>
    <w:multiLevelType w:val="hybridMultilevel"/>
    <w:tmpl w:val="1020F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921FF4"/>
    <w:multiLevelType w:val="hybridMultilevel"/>
    <w:tmpl w:val="E47CF5F2"/>
    <w:lvl w:ilvl="0" w:tplc="A8E252F0">
      <w:start w:val="1"/>
      <w:numFmt w:val="decimal"/>
      <w:pStyle w:val="ListParagraph"/>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CF2C486"/>
    <w:multiLevelType w:val="hybridMultilevel"/>
    <w:tmpl w:val="1586D7E7"/>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77A6431"/>
    <w:multiLevelType w:val="hybridMultilevel"/>
    <w:tmpl w:val="750A6CB6"/>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2" w15:restartNumberingAfterBreak="0">
    <w:nsid w:val="4BFE0119"/>
    <w:multiLevelType w:val="multilevel"/>
    <w:tmpl w:val="0C09001D"/>
    <w:styleLink w:val="StyleHeading110ptGray-5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C95806"/>
    <w:multiLevelType w:val="hybridMultilevel"/>
    <w:tmpl w:val="C23C2AAC"/>
    <w:lvl w:ilvl="0" w:tplc="B60C63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655C76"/>
    <w:multiLevelType w:val="hybridMultilevel"/>
    <w:tmpl w:val="A9D03D70"/>
    <w:lvl w:ilvl="0" w:tplc="0C162180">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BD52C9"/>
    <w:multiLevelType w:val="hybridMultilevel"/>
    <w:tmpl w:val="4600C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872BA2"/>
    <w:multiLevelType w:val="hybridMultilevel"/>
    <w:tmpl w:val="48C667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506D91"/>
    <w:multiLevelType w:val="multilevel"/>
    <w:tmpl w:val="4F30514E"/>
    <w:lvl w:ilvl="0">
      <w:start w:val="1"/>
      <w:numFmt w:val="decimal"/>
      <w:pStyle w:val="TempateHeadingLevel2"/>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505246402">
    <w:abstractNumId w:val="17"/>
  </w:num>
  <w:num w:numId="2" w16cid:durableId="359939399">
    <w:abstractNumId w:val="1"/>
  </w:num>
  <w:num w:numId="3" w16cid:durableId="233130931">
    <w:abstractNumId w:val="9"/>
  </w:num>
  <w:num w:numId="4" w16cid:durableId="2095543904">
    <w:abstractNumId w:val="5"/>
  </w:num>
  <w:num w:numId="5" w16cid:durableId="880290170">
    <w:abstractNumId w:val="12"/>
  </w:num>
  <w:num w:numId="6" w16cid:durableId="890263713">
    <w:abstractNumId w:val="15"/>
  </w:num>
  <w:num w:numId="7" w16cid:durableId="1354498197">
    <w:abstractNumId w:val="2"/>
  </w:num>
  <w:num w:numId="8" w16cid:durableId="429356924">
    <w:abstractNumId w:val="11"/>
  </w:num>
  <w:num w:numId="9" w16cid:durableId="1516771597">
    <w:abstractNumId w:val="6"/>
  </w:num>
  <w:num w:numId="10" w16cid:durableId="34620332">
    <w:abstractNumId w:val="14"/>
  </w:num>
  <w:num w:numId="11" w16cid:durableId="1664117856">
    <w:abstractNumId w:val="7"/>
  </w:num>
  <w:num w:numId="12" w16cid:durableId="1818104132">
    <w:abstractNumId w:val="4"/>
  </w:num>
  <w:num w:numId="13" w16cid:durableId="733312377">
    <w:abstractNumId w:val="10"/>
  </w:num>
  <w:num w:numId="14" w16cid:durableId="1461455863">
    <w:abstractNumId w:val="13"/>
  </w:num>
  <w:num w:numId="15" w16cid:durableId="1487816611">
    <w:abstractNumId w:val="3"/>
  </w:num>
  <w:num w:numId="16" w16cid:durableId="1902862614">
    <w:abstractNumId w:val="0"/>
  </w:num>
  <w:num w:numId="17" w16cid:durableId="933055236">
    <w:abstractNumId w:val="1"/>
  </w:num>
  <w:num w:numId="18" w16cid:durableId="1239363539">
    <w:abstractNumId w:val="1"/>
  </w:num>
  <w:num w:numId="19" w16cid:durableId="518931459">
    <w:abstractNumId w:val="1"/>
  </w:num>
  <w:num w:numId="20" w16cid:durableId="390154914">
    <w:abstractNumId w:val="9"/>
  </w:num>
  <w:num w:numId="21" w16cid:durableId="967588286">
    <w:abstractNumId w:val="9"/>
  </w:num>
  <w:num w:numId="22" w16cid:durableId="2007051741">
    <w:abstractNumId w:val="8"/>
  </w:num>
  <w:num w:numId="23" w16cid:durableId="488835366">
    <w:abstractNumId w:val="1"/>
  </w:num>
  <w:num w:numId="24" w16cid:durableId="492645093">
    <w:abstractNumId w:val="1"/>
  </w:num>
  <w:num w:numId="25" w16cid:durableId="1308243552">
    <w:abstractNumId w:val="1"/>
  </w:num>
  <w:num w:numId="26" w16cid:durableId="224267450">
    <w:abstractNumId w:val="16"/>
  </w:num>
  <w:num w:numId="27" w16cid:durableId="2124156070">
    <w:abstractNumId w:val="1"/>
  </w:num>
  <w:num w:numId="28" w16cid:durableId="661586458">
    <w:abstractNumId w:val="9"/>
  </w:num>
  <w:num w:numId="29" w16cid:durableId="1724334108">
    <w:abstractNumId w:val="1"/>
  </w:num>
  <w:num w:numId="30" w16cid:durableId="1376781766">
    <w:abstractNumId w:val="1"/>
  </w:num>
  <w:num w:numId="31" w16cid:durableId="963847579">
    <w:abstractNumId w:val="1"/>
  </w:num>
  <w:num w:numId="32" w16cid:durableId="2089569904">
    <w:abstractNumId w:val="1"/>
  </w:num>
  <w:num w:numId="33" w16cid:durableId="1157460368">
    <w:abstractNumId w:val="1"/>
  </w:num>
  <w:num w:numId="34" w16cid:durableId="505291275">
    <w:abstractNumId w:val="1"/>
  </w:num>
  <w:num w:numId="35" w16cid:durableId="1186556474">
    <w:abstractNumId w:val="1"/>
  </w:num>
  <w:num w:numId="36" w16cid:durableId="79066913">
    <w:abstractNumId w:val="1"/>
  </w:num>
  <w:num w:numId="37" w16cid:durableId="24800433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90"/>
    <w:rsid w:val="0000361A"/>
    <w:rsid w:val="00003807"/>
    <w:rsid w:val="000124B8"/>
    <w:rsid w:val="00012CF2"/>
    <w:rsid w:val="0001522E"/>
    <w:rsid w:val="00017F19"/>
    <w:rsid w:val="00020A94"/>
    <w:rsid w:val="00021C8B"/>
    <w:rsid w:val="00024349"/>
    <w:rsid w:val="00025BD8"/>
    <w:rsid w:val="00026D9F"/>
    <w:rsid w:val="000307EA"/>
    <w:rsid w:val="00032750"/>
    <w:rsid w:val="0003338C"/>
    <w:rsid w:val="00035A21"/>
    <w:rsid w:val="000363C2"/>
    <w:rsid w:val="00037EC3"/>
    <w:rsid w:val="00044346"/>
    <w:rsid w:val="00044C66"/>
    <w:rsid w:val="00047A8E"/>
    <w:rsid w:val="00051013"/>
    <w:rsid w:val="00051A8D"/>
    <w:rsid w:val="00052709"/>
    <w:rsid w:val="00054305"/>
    <w:rsid w:val="00055321"/>
    <w:rsid w:val="00061CCC"/>
    <w:rsid w:val="000628F7"/>
    <w:rsid w:val="000637B1"/>
    <w:rsid w:val="00063DC8"/>
    <w:rsid w:val="0006680B"/>
    <w:rsid w:val="0007145E"/>
    <w:rsid w:val="00074D05"/>
    <w:rsid w:val="00081F8D"/>
    <w:rsid w:val="00082362"/>
    <w:rsid w:val="00085F8A"/>
    <w:rsid w:val="00090F95"/>
    <w:rsid w:val="000939A4"/>
    <w:rsid w:val="000943C0"/>
    <w:rsid w:val="00095CE7"/>
    <w:rsid w:val="000A122E"/>
    <w:rsid w:val="000A358E"/>
    <w:rsid w:val="000A378D"/>
    <w:rsid w:val="000A5353"/>
    <w:rsid w:val="000A6FDB"/>
    <w:rsid w:val="000A76A3"/>
    <w:rsid w:val="000A7A78"/>
    <w:rsid w:val="000A7F23"/>
    <w:rsid w:val="000B1AA9"/>
    <w:rsid w:val="000B328F"/>
    <w:rsid w:val="000C3ABC"/>
    <w:rsid w:val="000C3E9D"/>
    <w:rsid w:val="000C44CD"/>
    <w:rsid w:val="000C6C04"/>
    <w:rsid w:val="000D0F62"/>
    <w:rsid w:val="000D1B19"/>
    <w:rsid w:val="000D3D72"/>
    <w:rsid w:val="000D4CEF"/>
    <w:rsid w:val="000D7F17"/>
    <w:rsid w:val="000D7FA3"/>
    <w:rsid w:val="000E07FA"/>
    <w:rsid w:val="000E2E78"/>
    <w:rsid w:val="000E4D52"/>
    <w:rsid w:val="000E5450"/>
    <w:rsid w:val="000E5ABB"/>
    <w:rsid w:val="000F079E"/>
    <w:rsid w:val="000F7F8C"/>
    <w:rsid w:val="0010257F"/>
    <w:rsid w:val="00103297"/>
    <w:rsid w:val="001053FA"/>
    <w:rsid w:val="00106715"/>
    <w:rsid w:val="00110DC3"/>
    <w:rsid w:val="00112081"/>
    <w:rsid w:val="00112C5C"/>
    <w:rsid w:val="00116F85"/>
    <w:rsid w:val="00121B90"/>
    <w:rsid w:val="001233BA"/>
    <w:rsid w:val="001240B0"/>
    <w:rsid w:val="00127EEF"/>
    <w:rsid w:val="00127F8F"/>
    <w:rsid w:val="00131BD1"/>
    <w:rsid w:val="001328DF"/>
    <w:rsid w:val="0013325E"/>
    <w:rsid w:val="00136B66"/>
    <w:rsid w:val="00137EDE"/>
    <w:rsid w:val="0014158C"/>
    <w:rsid w:val="00142D8F"/>
    <w:rsid w:val="0014314E"/>
    <w:rsid w:val="00146D1F"/>
    <w:rsid w:val="00146DA1"/>
    <w:rsid w:val="001472A2"/>
    <w:rsid w:val="0014777A"/>
    <w:rsid w:val="00153BE7"/>
    <w:rsid w:val="00156592"/>
    <w:rsid w:val="00161C1F"/>
    <w:rsid w:val="00163FC0"/>
    <w:rsid w:val="0016535D"/>
    <w:rsid w:val="001657A7"/>
    <w:rsid w:val="0016611A"/>
    <w:rsid w:val="001662EA"/>
    <w:rsid w:val="00166366"/>
    <w:rsid w:val="0016675F"/>
    <w:rsid w:val="001670B8"/>
    <w:rsid w:val="00167547"/>
    <w:rsid w:val="00167788"/>
    <w:rsid w:val="001700F1"/>
    <w:rsid w:val="001713CF"/>
    <w:rsid w:val="001729CF"/>
    <w:rsid w:val="00173D6D"/>
    <w:rsid w:val="00174343"/>
    <w:rsid w:val="00174BEB"/>
    <w:rsid w:val="001762D6"/>
    <w:rsid w:val="001766A6"/>
    <w:rsid w:val="0017780E"/>
    <w:rsid w:val="001801EE"/>
    <w:rsid w:val="001833C3"/>
    <w:rsid w:val="00183591"/>
    <w:rsid w:val="00183CF1"/>
    <w:rsid w:val="00185A83"/>
    <w:rsid w:val="001866A5"/>
    <w:rsid w:val="00186992"/>
    <w:rsid w:val="0018782F"/>
    <w:rsid w:val="00190CFD"/>
    <w:rsid w:val="0019310A"/>
    <w:rsid w:val="00195240"/>
    <w:rsid w:val="00196F4A"/>
    <w:rsid w:val="001A1FC1"/>
    <w:rsid w:val="001A3F27"/>
    <w:rsid w:val="001A46D2"/>
    <w:rsid w:val="001A4BA7"/>
    <w:rsid w:val="001A4E69"/>
    <w:rsid w:val="001A606A"/>
    <w:rsid w:val="001A6C67"/>
    <w:rsid w:val="001B2949"/>
    <w:rsid w:val="001B2F76"/>
    <w:rsid w:val="001B357A"/>
    <w:rsid w:val="001B4172"/>
    <w:rsid w:val="001B6D9D"/>
    <w:rsid w:val="001B747A"/>
    <w:rsid w:val="001C2A1A"/>
    <w:rsid w:val="001C326E"/>
    <w:rsid w:val="001C32F8"/>
    <w:rsid w:val="001D0913"/>
    <w:rsid w:val="001D2121"/>
    <w:rsid w:val="001D4672"/>
    <w:rsid w:val="001D4CC3"/>
    <w:rsid w:val="001D51DF"/>
    <w:rsid w:val="001D6AB3"/>
    <w:rsid w:val="001D7068"/>
    <w:rsid w:val="001D79D3"/>
    <w:rsid w:val="001E1A97"/>
    <w:rsid w:val="001E2151"/>
    <w:rsid w:val="001E4B28"/>
    <w:rsid w:val="001E5CB3"/>
    <w:rsid w:val="001E79D9"/>
    <w:rsid w:val="001F24BF"/>
    <w:rsid w:val="001F3157"/>
    <w:rsid w:val="001F33D3"/>
    <w:rsid w:val="001F53BA"/>
    <w:rsid w:val="001F777E"/>
    <w:rsid w:val="0020012A"/>
    <w:rsid w:val="00204268"/>
    <w:rsid w:val="00206561"/>
    <w:rsid w:val="00210307"/>
    <w:rsid w:val="002110DB"/>
    <w:rsid w:val="00212218"/>
    <w:rsid w:val="00212857"/>
    <w:rsid w:val="00213669"/>
    <w:rsid w:val="002139AC"/>
    <w:rsid w:val="00215088"/>
    <w:rsid w:val="00220EAA"/>
    <w:rsid w:val="002226F1"/>
    <w:rsid w:val="00224127"/>
    <w:rsid w:val="00224408"/>
    <w:rsid w:val="00225114"/>
    <w:rsid w:val="00230580"/>
    <w:rsid w:val="00231C32"/>
    <w:rsid w:val="002359FA"/>
    <w:rsid w:val="00241A6F"/>
    <w:rsid w:val="00242B92"/>
    <w:rsid w:val="002434C7"/>
    <w:rsid w:val="002478C8"/>
    <w:rsid w:val="0025062B"/>
    <w:rsid w:val="00252CF1"/>
    <w:rsid w:val="00254393"/>
    <w:rsid w:val="00255002"/>
    <w:rsid w:val="0025787D"/>
    <w:rsid w:val="00263E25"/>
    <w:rsid w:val="00264BDB"/>
    <w:rsid w:val="002656A6"/>
    <w:rsid w:val="0026794A"/>
    <w:rsid w:val="00267B28"/>
    <w:rsid w:val="002702A9"/>
    <w:rsid w:val="00270334"/>
    <w:rsid w:val="00271776"/>
    <w:rsid w:val="00272673"/>
    <w:rsid w:val="00272AB9"/>
    <w:rsid w:val="00274B52"/>
    <w:rsid w:val="00274FEC"/>
    <w:rsid w:val="00275E86"/>
    <w:rsid w:val="0028060F"/>
    <w:rsid w:val="002842D4"/>
    <w:rsid w:val="00284B54"/>
    <w:rsid w:val="0029204A"/>
    <w:rsid w:val="0029315B"/>
    <w:rsid w:val="002A264A"/>
    <w:rsid w:val="002A301E"/>
    <w:rsid w:val="002A39E9"/>
    <w:rsid w:val="002A48A1"/>
    <w:rsid w:val="002A50B6"/>
    <w:rsid w:val="002A683B"/>
    <w:rsid w:val="002A7662"/>
    <w:rsid w:val="002B05E7"/>
    <w:rsid w:val="002B21F0"/>
    <w:rsid w:val="002B2F87"/>
    <w:rsid w:val="002B58C1"/>
    <w:rsid w:val="002B5A13"/>
    <w:rsid w:val="002B7866"/>
    <w:rsid w:val="002C2BCE"/>
    <w:rsid w:val="002C3651"/>
    <w:rsid w:val="002C4407"/>
    <w:rsid w:val="002C4891"/>
    <w:rsid w:val="002D1916"/>
    <w:rsid w:val="002D25FA"/>
    <w:rsid w:val="002D2BF6"/>
    <w:rsid w:val="002D6091"/>
    <w:rsid w:val="002E3046"/>
    <w:rsid w:val="002E51A3"/>
    <w:rsid w:val="002E6C20"/>
    <w:rsid w:val="002F151A"/>
    <w:rsid w:val="002F29A9"/>
    <w:rsid w:val="002F3D9F"/>
    <w:rsid w:val="002F51B4"/>
    <w:rsid w:val="002F61E3"/>
    <w:rsid w:val="002F6A0D"/>
    <w:rsid w:val="00301902"/>
    <w:rsid w:val="00301F26"/>
    <w:rsid w:val="00302388"/>
    <w:rsid w:val="00302DF2"/>
    <w:rsid w:val="003044BB"/>
    <w:rsid w:val="003049BB"/>
    <w:rsid w:val="00304C7F"/>
    <w:rsid w:val="00306C2C"/>
    <w:rsid w:val="003119FC"/>
    <w:rsid w:val="00311F35"/>
    <w:rsid w:val="0031307F"/>
    <w:rsid w:val="00313663"/>
    <w:rsid w:val="0031404E"/>
    <w:rsid w:val="003210AA"/>
    <w:rsid w:val="00321AD8"/>
    <w:rsid w:val="00323632"/>
    <w:rsid w:val="0032656C"/>
    <w:rsid w:val="00326EF8"/>
    <w:rsid w:val="003279D6"/>
    <w:rsid w:val="003324D1"/>
    <w:rsid w:val="00335891"/>
    <w:rsid w:val="00335FD9"/>
    <w:rsid w:val="00337949"/>
    <w:rsid w:val="00340B67"/>
    <w:rsid w:val="003412FA"/>
    <w:rsid w:val="00343471"/>
    <w:rsid w:val="00343A30"/>
    <w:rsid w:val="00344167"/>
    <w:rsid w:val="00347FB0"/>
    <w:rsid w:val="00350C35"/>
    <w:rsid w:val="003516DC"/>
    <w:rsid w:val="00352A7E"/>
    <w:rsid w:val="00352D77"/>
    <w:rsid w:val="00353178"/>
    <w:rsid w:val="00354E66"/>
    <w:rsid w:val="00361D35"/>
    <w:rsid w:val="0036331A"/>
    <w:rsid w:val="003645D3"/>
    <w:rsid w:val="00365258"/>
    <w:rsid w:val="00365A78"/>
    <w:rsid w:val="00371FED"/>
    <w:rsid w:val="003730D2"/>
    <w:rsid w:val="00380EFC"/>
    <w:rsid w:val="0038147D"/>
    <w:rsid w:val="00381D0B"/>
    <w:rsid w:val="00382457"/>
    <w:rsid w:val="003857F0"/>
    <w:rsid w:val="00386E44"/>
    <w:rsid w:val="00387587"/>
    <w:rsid w:val="00395087"/>
    <w:rsid w:val="00395665"/>
    <w:rsid w:val="00396A7C"/>
    <w:rsid w:val="0039758C"/>
    <w:rsid w:val="003A07E5"/>
    <w:rsid w:val="003A1075"/>
    <w:rsid w:val="003A26D8"/>
    <w:rsid w:val="003A594A"/>
    <w:rsid w:val="003A5D76"/>
    <w:rsid w:val="003A76F6"/>
    <w:rsid w:val="003B164E"/>
    <w:rsid w:val="003B1A12"/>
    <w:rsid w:val="003B5AA8"/>
    <w:rsid w:val="003B6581"/>
    <w:rsid w:val="003B6E4A"/>
    <w:rsid w:val="003B76B8"/>
    <w:rsid w:val="003C060F"/>
    <w:rsid w:val="003C1D82"/>
    <w:rsid w:val="003C2346"/>
    <w:rsid w:val="003C2590"/>
    <w:rsid w:val="003C2C39"/>
    <w:rsid w:val="003C644A"/>
    <w:rsid w:val="003C6EE8"/>
    <w:rsid w:val="003D34E1"/>
    <w:rsid w:val="003D6B64"/>
    <w:rsid w:val="003E01BF"/>
    <w:rsid w:val="003E2467"/>
    <w:rsid w:val="003E2634"/>
    <w:rsid w:val="003E4190"/>
    <w:rsid w:val="003E6B8A"/>
    <w:rsid w:val="003F0992"/>
    <w:rsid w:val="003F1830"/>
    <w:rsid w:val="003F1D84"/>
    <w:rsid w:val="003F2CE6"/>
    <w:rsid w:val="003F3F04"/>
    <w:rsid w:val="003F4A1A"/>
    <w:rsid w:val="003F6909"/>
    <w:rsid w:val="0040014E"/>
    <w:rsid w:val="004005A3"/>
    <w:rsid w:val="00400E4E"/>
    <w:rsid w:val="00402E7F"/>
    <w:rsid w:val="00403374"/>
    <w:rsid w:val="004045E3"/>
    <w:rsid w:val="00404B11"/>
    <w:rsid w:val="00404BA0"/>
    <w:rsid w:val="00404BB8"/>
    <w:rsid w:val="00406087"/>
    <w:rsid w:val="004074A5"/>
    <w:rsid w:val="00410468"/>
    <w:rsid w:val="00410BC6"/>
    <w:rsid w:val="0041172A"/>
    <w:rsid w:val="00411CE2"/>
    <w:rsid w:val="00416249"/>
    <w:rsid w:val="00420D33"/>
    <w:rsid w:val="00421A1A"/>
    <w:rsid w:val="00423987"/>
    <w:rsid w:val="004241AD"/>
    <w:rsid w:val="004248EC"/>
    <w:rsid w:val="00425D4B"/>
    <w:rsid w:val="00427240"/>
    <w:rsid w:val="00427DDA"/>
    <w:rsid w:val="004365DA"/>
    <w:rsid w:val="00436C1E"/>
    <w:rsid w:val="0043753F"/>
    <w:rsid w:val="00441C42"/>
    <w:rsid w:val="004439DD"/>
    <w:rsid w:val="00443D42"/>
    <w:rsid w:val="00443ECB"/>
    <w:rsid w:val="00444681"/>
    <w:rsid w:val="00444F12"/>
    <w:rsid w:val="004452F7"/>
    <w:rsid w:val="00445519"/>
    <w:rsid w:val="00445C03"/>
    <w:rsid w:val="00446576"/>
    <w:rsid w:val="00447955"/>
    <w:rsid w:val="004520C0"/>
    <w:rsid w:val="00453557"/>
    <w:rsid w:val="0045687F"/>
    <w:rsid w:val="00466EF1"/>
    <w:rsid w:val="00467685"/>
    <w:rsid w:val="00467F18"/>
    <w:rsid w:val="00471B3B"/>
    <w:rsid w:val="00472CD9"/>
    <w:rsid w:val="00474A43"/>
    <w:rsid w:val="00475CB5"/>
    <w:rsid w:val="00480C15"/>
    <w:rsid w:val="0048213F"/>
    <w:rsid w:val="0048548B"/>
    <w:rsid w:val="004A0A93"/>
    <w:rsid w:val="004A1213"/>
    <w:rsid w:val="004A60F0"/>
    <w:rsid w:val="004A749B"/>
    <w:rsid w:val="004B0BA3"/>
    <w:rsid w:val="004B23F8"/>
    <w:rsid w:val="004C2BF1"/>
    <w:rsid w:val="004C3763"/>
    <w:rsid w:val="004C444A"/>
    <w:rsid w:val="004C4C52"/>
    <w:rsid w:val="004C5A64"/>
    <w:rsid w:val="004C64B2"/>
    <w:rsid w:val="004C7A25"/>
    <w:rsid w:val="004D1871"/>
    <w:rsid w:val="004E3C22"/>
    <w:rsid w:val="004E44A6"/>
    <w:rsid w:val="004F44BD"/>
    <w:rsid w:val="004F49EE"/>
    <w:rsid w:val="004F4B25"/>
    <w:rsid w:val="004F576D"/>
    <w:rsid w:val="004F5AEE"/>
    <w:rsid w:val="004F6370"/>
    <w:rsid w:val="005002A4"/>
    <w:rsid w:val="0050350B"/>
    <w:rsid w:val="00504B60"/>
    <w:rsid w:val="00521204"/>
    <w:rsid w:val="00522DCC"/>
    <w:rsid w:val="00524BBB"/>
    <w:rsid w:val="00524FCD"/>
    <w:rsid w:val="005320E8"/>
    <w:rsid w:val="00537172"/>
    <w:rsid w:val="00537BA0"/>
    <w:rsid w:val="00541575"/>
    <w:rsid w:val="0054267F"/>
    <w:rsid w:val="00543E88"/>
    <w:rsid w:val="00543EC2"/>
    <w:rsid w:val="0054533D"/>
    <w:rsid w:val="00545FF1"/>
    <w:rsid w:val="00546821"/>
    <w:rsid w:val="00560E79"/>
    <w:rsid w:val="00563923"/>
    <w:rsid w:val="005654D8"/>
    <w:rsid w:val="00565C26"/>
    <w:rsid w:val="00567298"/>
    <w:rsid w:val="0057374D"/>
    <w:rsid w:val="00576319"/>
    <w:rsid w:val="00576E9A"/>
    <w:rsid w:val="005773C1"/>
    <w:rsid w:val="00583B25"/>
    <w:rsid w:val="00585744"/>
    <w:rsid w:val="00585BDB"/>
    <w:rsid w:val="005905B9"/>
    <w:rsid w:val="0059274C"/>
    <w:rsid w:val="00592902"/>
    <w:rsid w:val="00593713"/>
    <w:rsid w:val="0059455B"/>
    <w:rsid w:val="00594D2F"/>
    <w:rsid w:val="00595987"/>
    <w:rsid w:val="005A0080"/>
    <w:rsid w:val="005A190A"/>
    <w:rsid w:val="005A3784"/>
    <w:rsid w:val="005A3FF6"/>
    <w:rsid w:val="005A6EEC"/>
    <w:rsid w:val="005A783D"/>
    <w:rsid w:val="005B0D7F"/>
    <w:rsid w:val="005B1229"/>
    <w:rsid w:val="005B3302"/>
    <w:rsid w:val="005B3F02"/>
    <w:rsid w:val="005B48CE"/>
    <w:rsid w:val="005C5896"/>
    <w:rsid w:val="005C6E43"/>
    <w:rsid w:val="005C7B7A"/>
    <w:rsid w:val="005C7C31"/>
    <w:rsid w:val="005D003B"/>
    <w:rsid w:val="005D015C"/>
    <w:rsid w:val="005D06CC"/>
    <w:rsid w:val="005D368C"/>
    <w:rsid w:val="005D3ADE"/>
    <w:rsid w:val="005D50C8"/>
    <w:rsid w:val="005E1E6D"/>
    <w:rsid w:val="005E25E4"/>
    <w:rsid w:val="005E5A03"/>
    <w:rsid w:val="005E68AE"/>
    <w:rsid w:val="005E72BE"/>
    <w:rsid w:val="005E7406"/>
    <w:rsid w:val="005F7527"/>
    <w:rsid w:val="005F77B2"/>
    <w:rsid w:val="00600776"/>
    <w:rsid w:val="00600842"/>
    <w:rsid w:val="00601A09"/>
    <w:rsid w:val="0060283D"/>
    <w:rsid w:val="00604EA0"/>
    <w:rsid w:val="00607A91"/>
    <w:rsid w:val="00611139"/>
    <w:rsid w:val="0061288A"/>
    <w:rsid w:val="00613E07"/>
    <w:rsid w:val="00614F7B"/>
    <w:rsid w:val="00614FF5"/>
    <w:rsid w:val="00620105"/>
    <w:rsid w:val="00622D1C"/>
    <w:rsid w:val="00622D6D"/>
    <w:rsid w:val="00623A69"/>
    <w:rsid w:val="0063577F"/>
    <w:rsid w:val="006418D8"/>
    <w:rsid w:val="006423F0"/>
    <w:rsid w:val="006500E6"/>
    <w:rsid w:val="00650C13"/>
    <w:rsid w:val="00651334"/>
    <w:rsid w:val="00651F0A"/>
    <w:rsid w:val="00651FA2"/>
    <w:rsid w:val="00655BB7"/>
    <w:rsid w:val="00656BC9"/>
    <w:rsid w:val="00656D97"/>
    <w:rsid w:val="006613B7"/>
    <w:rsid w:val="00664EB5"/>
    <w:rsid w:val="00664F15"/>
    <w:rsid w:val="00666C1F"/>
    <w:rsid w:val="0066733F"/>
    <w:rsid w:val="00667694"/>
    <w:rsid w:val="006733DE"/>
    <w:rsid w:val="00673410"/>
    <w:rsid w:val="006747F9"/>
    <w:rsid w:val="006748D2"/>
    <w:rsid w:val="00675ADE"/>
    <w:rsid w:val="00677A5E"/>
    <w:rsid w:val="00680ACB"/>
    <w:rsid w:val="00681AAE"/>
    <w:rsid w:val="00686CD1"/>
    <w:rsid w:val="00690CF3"/>
    <w:rsid w:val="00691FA1"/>
    <w:rsid w:val="00692194"/>
    <w:rsid w:val="006924C7"/>
    <w:rsid w:val="0069324B"/>
    <w:rsid w:val="006942B2"/>
    <w:rsid w:val="006945ED"/>
    <w:rsid w:val="00694693"/>
    <w:rsid w:val="00694FE9"/>
    <w:rsid w:val="00695580"/>
    <w:rsid w:val="006A1B7E"/>
    <w:rsid w:val="006A62B1"/>
    <w:rsid w:val="006B0CBC"/>
    <w:rsid w:val="006B1686"/>
    <w:rsid w:val="006B49E3"/>
    <w:rsid w:val="006B5629"/>
    <w:rsid w:val="006B6B9C"/>
    <w:rsid w:val="006B7B17"/>
    <w:rsid w:val="006C43F1"/>
    <w:rsid w:val="006C4829"/>
    <w:rsid w:val="006C49B8"/>
    <w:rsid w:val="006C59A7"/>
    <w:rsid w:val="006C7678"/>
    <w:rsid w:val="006C7CAF"/>
    <w:rsid w:val="006D02C4"/>
    <w:rsid w:val="006D2D7C"/>
    <w:rsid w:val="006D2E73"/>
    <w:rsid w:val="006D321C"/>
    <w:rsid w:val="006D4090"/>
    <w:rsid w:val="006D47A7"/>
    <w:rsid w:val="006E0256"/>
    <w:rsid w:val="006E3F3A"/>
    <w:rsid w:val="006E449B"/>
    <w:rsid w:val="006E61D3"/>
    <w:rsid w:val="006E70DE"/>
    <w:rsid w:val="006E7352"/>
    <w:rsid w:val="006F04A4"/>
    <w:rsid w:val="006F3A9F"/>
    <w:rsid w:val="006F3D46"/>
    <w:rsid w:val="006F4B25"/>
    <w:rsid w:val="00707827"/>
    <w:rsid w:val="00707BF5"/>
    <w:rsid w:val="007105F5"/>
    <w:rsid w:val="00712EF7"/>
    <w:rsid w:val="00713701"/>
    <w:rsid w:val="007142F1"/>
    <w:rsid w:val="007156E5"/>
    <w:rsid w:val="00715D91"/>
    <w:rsid w:val="00715EAB"/>
    <w:rsid w:val="00720080"/>
    <w:rsid w:val="00720738"/>
    <w:rsid w:val="00720D43"/>
    <w:rsid w:val="00721234"/>
    <w:rsid w:val="00721577"/>
    <w:rsid w:val="00722422"/>
    <w:rsid w:val="00723E54"/>
    <w:rsid w:val="007259D1"/>
    <w:rsid w:val="00726C09"/>
    <w:rsid w:val="00731D4C"/>
    <w:rsid w:val="00733431"/>
    <w:rsid w:val="00737E56"/>
    <w:rsid w:val="0074004E"/>
    <w:rsid w:val="00740D4B"/>
    <w:rsid w:val="00740D96"/>
    <w:rsid w:val="00742591"/>
    <w:rsid w:val="00747CE5"/>
    <w:rsid w:val="00752CCA"/>
    <w:rsid w:val="00752E9B"/>
    <w:rsid w:val="00752FDC"/>
    <w:rsid w:val="007534FB"/>
    <w:rsid w:val="00755806"/>
    <w:rsid w:val="00757457"/>
    <w:rsid w:val="007601F3"/>
    <w:rsid w:val="007616AC"/>
    <w:rsid w:val="00764089"/>
    <w:rsid w:val="007669E8"/>
    <w:rsid w:val="00770FD9"/>
    <w:rsid w:val="00772C2E"/>
    <w:rsid w:val="007737AF"/>
    <w:rsid w:val="007746C9"/>
    <w:rsid w:val="00774AA2"/>
    <w:rsid w:val="00775CF4"/>
    <w:rsid w:val="00776296"/>
    <w:rsid w:val="007776D4"/>
    <w:rsid w:val="00780280"/>
    <w:rsid w:val="0078199B"/>
    <w:rsid w:val="00782270"/>
    <w:rsid w:val="00787A63"/>
    <w:rsid w:val="0079082B"/>
    <w:rsid w:val="007930F3"/>
    <w:rsid w:val="0079345F"/>
    <w:rsid w:val="007965B1"/>
    <w:rsid w:val="00796CF5"/>
    <w:rsid w:val="00796F34"/>
    <w:rsid w:val="0079714D"/>
    <w:rsid w:val="00797831"/>
    <w:rsid w:val="007A04B5"/>
    <w:rsid w:val="007A2C56"/>
    <w:rsid w:val="007A30DA"/>
    <w:rsid w:val="007A3C79"/>
    <w:rsid w:val="007A797F"/>
    <w:rsid w:val="007B2F41"/>
    <w:rsid w:val="007B317B"/>
    <w:rsid w:val="007B38EC"/>
    <w:rsid w:val="007C0FA1"/>
    <w:rsid w:val="007C15FE"/>
    <w:rsid w:val="007C1C53"/>
    <w:rsid w:val="007C1F85"/>
    <w:rsid w:val="007C41B5"/>
    <w:rsid w:val="007C4366"/>
    <w:rsid w:val="007D063A"/>
    <w:rsid w:val="007D0E20"/>
    <w:rsid w:val="007D45F8"/>
    <w:rsid w:val="007E07CD"/>
    <w:rsid w:val="007E0ED8"/>
    <w:rsid w:val="007E24E5"/>
    <w:rsid w:val="007E301B"/>
    <w:rsid w:val="007E3B3F"/>
    <w:rsid w:val="007E3D1A"/>
    <w:rsid w:val="007F12F2"/>
    <w:rsid w:val="007F40E1"/>
    <w:rsid w:val="007F4FFD"/>
    <w:rsid w:val="007F5C93"/>
    <w:rsid w:val="007F6E86"/>
    <w:rsid w:val="008008F0"/>
    <w:rsid w:val="00802432"/>
    <w:rsid w:val="00803A98"/>
    <w:rsid w:val="0080525C"/>
    <w:rsid w:val="00807AAE"/>
    <w:rsid w:val="00807C55"/>
    <w:rsid w:val="008108E4"/>
    <w:rsid w:val="008116B5"/>
    <w:rsid w:val="00811754"/>
    <w:rsid w:val="00812931"/>
    <w:rsid w:val="008140E9"/>
    <w:rsid w:val="00814F90"/>
    <w:rsid w:val="00815673"/>
    <w:rsid w:val="00815D3E"/>
    <w:rsid w:val="00817F3D"/>
    <w:rsid w:val="00820D79"/>
    <w:rsid w:val="00822686"/>
    <w:rsid w:val="00822F61"/>
    <w:rsid w:val="008230A5"/>
    <w:rsid w:val="00823B1D"/>
    <w:rsid w:val="008250BF"/>
    <w:rsid w:val="008253FC"/>
    <w:rsid w:val="00827648"/>
    <w:rsid w:val="00827B74"/>
    <w:rsid w:val="008336C6"/>
    <w:rsid w:val="00833973"/>
    <w:rsid w:val="00841069"/>
    <w:rsid w:val="008424D9"/>
    <w:rsid w:val="00842F32"/>
    <w:rsid w:val="00843643"/>
    <w:rsid w:val="008454F6"/>
    <w:rsid w:val="00846B62"/>
    <w:rsid w:val="0085150D"/>
    <w:rsid w:val="00851590"/>
    <w:rsid w:val="00851AD0"/>
    <w:rsid w:val="008529CA"/>
    <w:rsid w:val="00852C4F"/>
    <w:rsid w:val="008534A6"/>
    <w:rsid w:val="00855119"/>
    <w:rsid w:val="00855EA5"/>
    <w:rsid w:val="008578D2"/>
    <w:rsid w:val="008623B6"/>
    <w:rsid w:val="00863A43"/>
    <w:rsid w:val="0086536B"/>
    <w:rsid w:val="00865E75"/>
    <w:rsid w:val="008665D5"/>
    <w:rsid w:val="00866D6B"/>
    <w:rsid w:val="008735F8"/>
    <w:rsid w:val="0087633B"/>
    <w:rsid w:val="00876C7E"/>
    <w:rsid w:val="00883B87"/>
    <w:rsid w:val="00884284"/>
    <w:rsid w:val="008853F5"/>
    <w:rsid w:val="008858C0"/>
    <w:rsid w:val="0088615F"/>
    <w:rsid w:val="0089078B"/>
    <w:rsid w:val="008942BE"/>
    <w:rsid w:val="00895EE2"/>
    <w:rsid w:val="008973B4"/>
    <w:rsid w:val="008A0796"/>
    <w:rsid w:val="008A2CFE"/>
    <w:rsid w:val="008A7DDB"/>
    <w:rsid w:val="008B2476"/>
    <w:rsid w:val="008B2E6C"/>
    <w:rsid w:val="008C09EA"/>
    <w:rsid w:val="008C0FB8"/>
    <w:rsid w:val="008C1F14"/>
    <w:rsid w:val="008C3468"/>
    <w:rsid w:val="008C55AE"/>
    <w:rsid w:val="008C697B"/>
    <w:rsid w:val="008C7D71"/>
    <w:rsid w:val="008D1D24"/>
    <w:rsid w:val="008D5186"/>
    <w:rsid w:val="008D6644"/>
    <w:rsid w:val="008E12C9"/>
    <w:rsid w:val="008F0265"/>
    <w:rsid w:val="008F3E13"/>
    <w:rsid w:val="00902AE5"/>
    <w:rsid w:val="00903622"/>
    <w:rsid w:val="00903CB9"/>
    <w:rsid w:val="00907E7B"/>
    <w:rsid w:val="0091134C"/>
    <w:rsid w:val="00911465"/>
    <w:rsid w:val="0091292C"/>
    <w:rsid w:val="00921571"/>
    <w:rsid w:val="00921F7F"/>
    <w:rsid w:val="00922901"/>
    <w:rsid w:val="00923016"/>
    <w:rsid w:val="00923B8D"/>
    <w:rsid w:val="00925B38"/>
    <w:rsid w:val="0093181E"/>
    <w:rsid w:val="0093430A"/>
    <w:rsid w:val="00934A54"/>
    <w:rsid w:val="00934CD2"/>
    <w:rsid w:val="009353AA"/>
    <w:rsid w:val="00942BFB"/>
    <w:rsid w:val="00943675"/>
    <w:rsid w:val="00953445"/>
    <w:rsid w:val="009602CC"/>
    <w:rsid w:val="00960EA5"/>
    <w:rsid w:val="00961960"/>
    <w:rsid w:val="00962AA4"/>
    <w:rsid w:val="00962EE2"/>
    <w:rsid w:val="00963772"/>
    <w:rsid w:val="00964F68"/>
    <w:rsid w:val="00965738"/>
    <w:rsid w:val="009677E1"/>
    <w:rsid w:val="00970F49"/>
    <w:rsid w:val="0097175D"/>
    <w:rsid w:val="00973C43"/>
    <w:rsid w:val="009760CC"/>
    <w:rsid w:val="009763F7"/>
    <w:rsid w:val="0097787F"/>
    <w:rsid w:val="00980713"/>
    <w:rsid w:val="009847C5"/>
    <w:rsid w:val="00985056"/>
    <w:rsid w:val="00992368"/>
    <w:rsid w:val="00992852"/>
    <w:rsid w:val="00993030"/>
    <w:rsid w:val="009A01C6"/>
    <w:rsid w:val="009A0917"/>
    <w:rsid w:val="009A13D7"/>
    <w:rsid w:val="009A1701"/>
    <w:rsid w:val="009A28FA"/>
    <w:rsid w:val="009A5161"/>
    <w:rsid w:val="009A6561"/>
    <w:rsid w:val="009A7B31"/>
    <w:rsid w:val="009B1C73"/>
    <w:rsid w:val="009B5A5D"/>
    <w:rsid w:val="009C1738"/>
    <w:rsid w:val="009C3FB2"/>
    <w:rsid w:val="009C4593"/>
    <w:rsid w:val="009C6918"/>
    <w:rsid w:val="009C69F9"/>
    <w:rsid w:val="009C6A57"/>
    <w:rsid w:val="009C7C33"/>
    <w:rsid w:val="009D11A2"/>
    <w:rsid w:val="009D1EA8"/>
    <w:rsid w:val="009D30A3"/>
    <w:rsid w:val="009D3274"/>
    <w:rsid w:val="009D3A45"/>
    <w:rsid w:val="009D3D38"/>
    <w:rsid w:val="009D790F"/>
    <w:rsid w:val="009E2380"/>
    <w:rsid w:val="009E2D79"/>
    <w:rsid w:val="009E59D9"/>
    <w:rsid w:val="009E6106"/>
    <w:rsid w:val="009E6B0D"/>
    <w:rsid w:val="009E7944"/>
    <w:rsid w:val="009E7ED9"/>
    <w:rsid w:val="009F1BC1"/>
    <w:rsid w:val="009F4641"/>
    <w:rsid w:val="00A01E0B"/>
    <w:rsid w:val="00A02AE3"/>
    <w:rsid w:val="00A0364A"/>
    <w:rsid w:val="00A07AF7"/>
    <w:rsid w:val="00A10266"/>
    <w:rsid w:val="00A105FA"/>
    <w:rsid w:val="00A10809"/>
    <w:rsid w:val="00A110F9"/>
    <w:rsid w:val="00A15C2E"/>
    <w:rsid w:val="00A16F4F"/>
    <w:rsid w:val="00A17EC1"/>
    <w:rsid w:val="00A20A34"/>
    <w:rsid w:val="00A23590"/>
    <w:rsid w:val="00A23786"/>
    <w:rsid w:val="00A25EA5"/>
    <w:rsid w:val="00A25ECA"/>
    <w:rsid w:val="00A30776"/>
    <w:rsid w:val="00A317E8"/>
    <w:rsid w:val="00A31A29"/>
    <w:rsid w:val="00A31E7B"/>
    <w:rsid w:val="00A327C5"/>
    <w:rsid w:val="00A33434"/>
    <w:rsid w:val="00A33AAE"/>
    <w:rsid w:val="00A33F40"/>
    <w:rsid w:val="00A34607"/>
    <w:rsid w:val="00A35D6D"/>
    <w:rsid w:val="00A376F6"/>
    <w:rsid w:val="00A379F5"/>
    <w:rsid w:val="00A40060"/>
    <w:rsid w:val="00A406DC"/>
    <w:rsid w:val="00A41988"/>
    <w:rsid w:val="00A41999"/>
    <w:rsid w:val="00A4310B"/>
    <w:rsid w:val="00A438BD"/>
    <w:rsid w:val="00A443CA"/>
    <w:rsid w:val="00A45FF7"/>
    <w:rsid w:val="00A47F23"/>
    <w:rsid w:val="00A50BDC"/>
    <w:rsid w:val="00A60915"/>
    <w:rsid w:val="00A61EA2"/>
    <w:rsid w:val="00A660A7"/>
    <w:rsid w:val="00A667D8"/>
    <w:rsid w:val="00A71687"/>
    <w:rsid w:val="00A734F8"/>
    <w:rsid w:val="00A74C62"/>
    <w:rsid w:val="00A74C82"/>
    <w:rsid w:val="00A77256"/>
    <w:rsid w:val="00A86615"/>
    <w:rsid w:val="00A87E9E"/>
    <w:rsid w:val="00A93827"/>
    <w:rsid w:val="00A93DC4"/>
    <w:rsid w:val="00A9405C"/>
    <w:rsid w:val="00A942C1"/>
    <w:rsid w:val="00A95FA7"/>
    <w:rsid w:val="00AA07FC"/>
    <w:rsid w:val="00AA2054"/>
    <w:rsid w:val="00AA43BC"/>
    <w:rsid w:val="00AA578D"/>
    <w:rsid w:val="00AA6CB2"/>
    <w:rsid w:val="00AA6CC7"/>
    <w:rsid w:val="00AA7560"/>
    <w:rsid w:val="00AA7BA9"/>
    <w:rsid w:val="00AB37C2"/>
    <w:rsid w:val="00AB4221"/>
    <w:rsid w:val="00AC4957"/>
    <w:rsid w:val="00AC4B69"/>
    <w:rsid w:val="00AC590A"/>
    <w:rsid w:val="00AC5BC1"/>
    <w:rsid w:val="00AC7482"/>
    <w:rsid w:val="00AC77F0"/>
    <w:rsid w:val="00AC7A4D"/>
    <w:rsid w:val="00AD4D55"/>
    <w:rsid w:val="00AD5C89"/>
    <w:rsid w:val="00AE10B1"/>
    <w:rsid w:val="00AE3CD8"/>
    <w:rsid w:val="00AE3F55"/>
    <w:rsid w:val="00AE4693"/>
    <w:rsid w:val="00AE51A5"/>
    <w:rsid w:val="00AE70D4"/>
    <w:rsid w:val="00AF0081"/>
    <w:rsid w:val="00AF2E3D"/>
    <w:rsid w:val="00AF3C84"/>
    <w:rsid w:val="00B00FF6"/>
    <w:rsid w:val="00B04E1F"/>
    <w:rsid w:val="00B04F6B"/>
    <w:rsid w:val="00B05617"/>
    <w:rsid w:val="00B060FA"/>
    <w:rsid w:val="00B06C3B"/>
    <w:rsid w:val="00B079EA"/>
    <w:rsid w:val="00B11294"/>
    <w:rsid w:val="00B1170F"/>
    <w:rsid w:val="00B15080"/>
    <w:rsid w:val="00B20C1F"/>
    <w:rsid w:val="00B21384"/>
    <w:rsid w:val="00B21545"/>
    <w:rsid w:val="00B25450"/>
    <w:rsid w:val="00B302EE"/>
    <w:rsid w:val="00B30884"/>
    <w:rsid w:val="00B30A5C"/>
    <w:rsid w:val="00B30B8E"/>
    <w:rsid w:val="00B31AFA"/>
    <w:rsid w:val="00B325FE"/>
    <w:rsid w:val="00B33B05"/>
    <w:rsid w:val="00B34BC0"/>
    <w:rsid w:val="00B40484"/>
    <w:rsid w:val="00B4055D"/>
    <w:rsid w:val="00B43792"/>
    <w:rsid w:val="00B43A20"/>
    <w:rsid w:val="00B43CB4"/>
    <w:rsid w:val="00B44AD1"/>
    <w:rsid w:val="00B45A4F"/>
    <w:rsid w:val="00B47128"/>
    <w:rsid w:val="00B47C3E"/>
    <w:rsid w:val="00B50916"/>
    <w:rsid w:val="00B5373B"/>
    <w:rsid w:val="00B53FE6"/>
    <w:rsid w:val="00B55D56"/>
    <w:rsid w:val="00B55E82"/>
    <w:rsid w:val="00B56D31"/>
    <w:rsid w:val="00B57339"/>
    <w:rsid w:val="00B57A19"/>
    <w:rsid w:val="00B57CFC"/>
    <w:rsid w:val="00B60FEF"/>
    <w:rsid w:val="00B61873"/>
    <w:rsid w:val="00B623BD"/>
    <w:rsid w:val="00B637A8"/>
    <w:rsid w:val="00B63C68"/>
    <w:rsid w:val="00B6439E"/>
    <w:rsid w:val="00B67C25"/>
    <w:rsid w:val="00B72723"/>
    <w:rsid w:val="00B72A17"/>
    <w:rsid w:val="00B735AA"/>
    <w:rsid w:val="00B758E4"/>
    <w:rsid w:val="00B7777E"/>
    <w:rsid w:val="00B81C29"/>
    <w:rsid w:val="00B8656A"/>
    <w:rsid w:val="00B87C25"/>
    <w:rsid w:val="00B93BAB"/>
    <w:rsid w:val="00B944AA"/>
    <w:rsid w:val="00B9679C"/>
    <w:rsid w:val="00BA070B"/>
    <w:rsid w:val="00BA10ED"/>
    <w:rsid w:val="00BA2695"/>
    <w:rsid w:val="00BA27B8"/>
    <w:rsid w:val="00BB1150"/>
    <w:rsid w:val="00BB56C2"/>
    <w:rsid w:val="00BB56E6"/>
    <w:rsid w:val="00BB571A"/>
    <w:rsid w:val="00BB5DF3"/>
    <w:rsid w:val="00BB630C"/>
    <w:rsid w:val="00BC1930"/>
    <w:rsid w:val="00BC41FB"/>
    <w:rsid w:val="00BC63C9"/>
    <w:rsid w:val="00BC7561"/>
    <w:rsid w:val="00BC7C43"/>
    <w:rsid w:val="00BC7D52"/>
    <w:rsid w:val="00BC7EDA"/>
    <w:rsid w:val="00BD027D"/>
    <w:rsid w:val="00BD0DA2"/>
    <w:rsid w:val="00BD315F"/>
    <w:rsid w:val="00BD5F76"/>
    <w:rsid w:val="00BD6070"/>
    <w:rsid w:val="00BD6797"/>
    <w:rsid w:val="00BD6F48"/>
    <w:rsid w:val="00BE097F"/>
    <w:rsid w:val="00BE449A"/>
    <w:rsid w:val="00BE51E5"/>
    <w:rsid w:val="00BE702D"/>
    <w:rsid w:val="00BF0232"/>
    <w:rsid w:val="00BF0EEF"/>
    <w:rsid w:val="00BF28F6"/>
    <w:rsid w:val="00BF2C41"/>
    <w:rsid w:val="00BF38C3"/>
    <w:rsid w:val="00BF393B"/>
    <w:rsid w:val="00BF5995"/>
    <w:rsid w:val="00BF6C01"/>
    <w:rsid w:val="00C01AF8"/>
    <w:rsid w:val="00C02688"/>
    <w:rsid w:val="00C05EE7"/>
    <w:rsid w:val="00C0713F"/>
    <w:rsid w:val="00C07557"/>
    <w:rsid w:val="00C1011D"/>
    <w:rsid w:val="00C109D3"/>
    <w:rsid w:val="00C109D6"/>
    <w:rsid w:val="00C11EAA"/>
    <w:rsid w:val="00C13796"/>
    <w:rsid w:val="00C16829"/>
    <w:rsid w:val="00C16CDF"/>
    <w:rsid w:val="00C17515"/>
    <w:rsid w:val="00C2075D"/>
    <w:rsid w:val="00C23937"/>
    <w:rsid w:val="00C24943"/>
    <w:rsid w:val="00C24D5C"/>
    <w:rsid w:val="00C25FF1"/>
    <w:rsid w:val="00C37496"/>
    <w:rsid w:val="00C40376"/>
    <w:rsid w:val="00C419A0"/>
    <w:rsid w:val="00C43E15"/>
    <w:rsid w:val="00C4422B"/>
    <w:rsid w:val="00C47672"/>
    <w:rsid w:val="00C50B64"/>
    <w:rsid w:val="00C52A30"/>
    <w:rsid w:val="00C5412A"/>
    <w:rsid w:val="00C545B8"/>
    <w:rsid w:val="00C54B8F"/>
    <w:rsid w:val="00C61768"/>
    <w:rsid w:val="00C635E0"/>
    <w:rsid w:val="00C651C8"/>
    <w:rsid w:val="00C66271"/>
    <w:rsid w:val="00C673DF"/>
    <w:rsid w:val="00C71695"/>
    <w:rsid w:val="00C71B5E"/>
    <w:rsid w:val="00C72C42"/>
    <w:rsid w:val="00C76BB0"/>
    <w:rsid w:val="00C84FC8"/>
    <w:rsid w:val="00C87375"/>
    <w:rsid w:val="00C94336"/>
    <w:rsid w:val="00C94E30"/>
    <w:rsid w:val="00C97152"/>
    <w:rsid w:val="00C97CC6"/>
    <w:rsid w:val="00CA66AE"/>
    <w:rsid w:val="00CA7FCA"/>
    <w:rsid w:val="00CB33F8"/>
    <w:rsid w:val="00CC44F3"/>
    <w:rsid w:val="00CC5A73"/>
    <w:rsid w:val="00CD1DBB"/>
    <w:rsid w:val="00CD27DC"/>
    <w:rsid w:val="00CD2DD7"/>
    <w:rsid w:val="00CD63FA"/>
    <w:rsid w:val="00CD7F10"/>
    <w:rsid w:val="00CE05C5"/>
    <w:rsid w:val="00CE42C1"/>
    <w:rsid w:val="00CE62C0"/>
    <w:rsid w:val="00CF1132"/>
    <w:rsid w:val="00CF2625"/>
    <w:rsid w:val="00CF4B6F"/>
    <w:rsid w:val="00CF5B69"/>
    <w:rsid w:val="00CF67A1"/>
    <w:rsid w:val="00D0036F"/>
    <w:rsid w:val="00D0459F"/>
    <w:rsid w:val="00D064EF"/>
    <w:rsid w:val="00D06ABD"/>
    <w:rsid w:val="00D10F4B"/>
    <w:rsid w:val="00D11982"/>
    <w:rsid w:val="00D11EE6"/>
    <w:rsid w:val="00D16AAC"/>
    <w:rsid w:val="00D2513C"/>
    <w:rsid w:val="00D266DD"/>
    <w:rsid w:val="00D30337"/>
    <w:rsid w:val="00D3099B"/>
    <w:rsid w:val="00D33E24"/>
    <w:rsid w:val="00D340A8"/>
    <w:rsid w:val="00D36AC7"/>
    <w:rsid w:val="00D45B66"/>
    <w:rsid w:val="00D53B31"/>
    <w:rsid w:val="00D54118"/>
    <w:rsid w:val="00D558DD"/>
    <w:rsid w:val="00D5728F"/>
    <w:rsid w:val="00D602F2"/>
    <w:rsid w:val="00D629C9"/>
    <w:rsid w:val="00D62A71"/>
    <w:rsid w:val="00D63B41"/>
    <w:rsid w:val="00D64497"/>
    <w:rsid w:val="00D66572"/>
    <w:rsid w:val="00D70E6E"/>
    <w:rsid w:val="00D723D4"/>
    <w:rsid w:val="00D74852"/>
    <w:rsid w:val="00D802A0"/>
    <w:rsid w:val="00D80FE8"/>
    <w:rsid w:val="00D83562"/>
    <w:rsid w:val="00D83D70"/>
    <w:rsid w:val="00D851BE"/>
    <w:rsid w:val="00D87DCF"/>
    <w:rsid w:val="00D91E28"/>
    <w:rsid w:val="00D95015"/>
    <w:rsid w:val="00D95EAE"/>
    <w:rsid w:val="00D9615A"/>
    <w:rsid w:val="00D96845"/>
    <w:rsid w:val="00DA27EA"/>
    <w:rsid w:val="00DA6563"/>
    <w:rsid w:val="00DA6CB2"/>
    <w:rsid w:val="00DB0F0A"/>
    <w:rsid w:val="00DB1D96"/>
    <w:rsid w:val="00DC13D7"/>
    <w:rsid w:val="00DC36D9"/>
    <w:rsid w:val="00DC45EA"/>
    <w:rsid w:val="00DC4D8F"/>
    <w:rsid w:val="00DC5C1E"/>
    <w:rsid w:val="00DC7BE6"/>
    <w:rsid w:val="00DD0C9B"/>
    <w:rsid w:val="00DD1301"/>
    <w:rsid w:val="00DD27A1"/>
    <w:rsid w:val="00DD2E2E"/>
    <w:rsid w:val="00DD3A71"/>
    <w:rsid w:val="00DD4476"/>
    <w:rsid w:val="00DD5109"/>
    <w:rsid w:val="00DE2F54"/>
    <w:rsid w:val="00DE36E8"/>
    <w:rsid w:val="00DE388F"/>
    <w:rsid w:val="00DE4903"/>
    <w:rsid w:val="00DE71E7"/>
    <w:rsid w:val="00DF0A1D"/>
    <w:rsid w:val="00DF433D"/>
    <w:rsid w:val="00DF47E7"/>
    <w:rsid w:val="00DF4B10"/>
    <w:rsid w:val="00DF74E5"/>
    <w:rsid w:val="00E0002A"/>
    <w:rsid w:val="00E00A23"/>
    <w:rsid w:val="00E01CE0"/>
    <w:rsid w:val="00E03CE0"/>
    <w:rsid w:val="00E053A2"/>
    <w:rsid w:val="00E0655A"/>
    <w:rsid w:val="00E10173"/>
    <w:rsid w:val="00E109AB"/>
    <w:rsid w:val="00E11623"/>
    <w:rsid w:val="00E122E7"/>
    <w:rsid w:val="00E1317E"/>
    <w:rsid w:val="00E141F1"/>
    <w:rsid w:val="00E1595D"/>
    <w:rsid w:val="00E15D52"/>
    <w:rsid w:val="00E169E0"/>
    <w:rsid w:val="00E17D61"/>
    <w:rsid w:val="00E204EA"/>
    <w:rsid w:val="00E23929"/>
    <w:rsid w:val="00E24278"/>
    <w:rsid w:val="00E24350"/>
    <w:rsid w:val="00E254C7"/>
    <w:rsid w:val="00E2768A"/>
    <w:rsid w:val="00E27A22"/>
    <w:rsid w:val="00E30FA3"/>
    <w:rsid w:val="00E31C89"/>
    <w:rsid w:val="00E35765"/>
    <w:rsid w:val="00E35BCE"/>
    <w:rsid w:val="00E40CD1"/>
    <w:rsid w:val="00E4353B"/>
    <w:rsid w:val="00E451CA"/>
    <w:rsid w:val="00E4771C"/>
    <w:rsid w:val="00E47F99"/>
    <w:rsid w:val="00E5235D"/>
    <w:rsid w:val="00E5360E"/>
    <w:rsid w:val="00E5798C"/>
    <w:rsid w:val="00E60D7A"/>
    <w:rsid w:val="00E60E2D"/>
    <w:rsid w:val="00E625AC"/>
    <w:rsid w:val="00E628D9"/>
    <w:rsid w:val="00E64331"/>
    <w:rsid w:val="00E668F3"/>
    <w:rsid w:val="00E67C2C"/>
    <w:rsid w:val="00E70D9A"/>
    <w:rsid w:val="00E71994"/>
    <w:rsid w:val="00E74E36"/>
    <w:rsid w:val="00E76DDD"/>
    <w:rsid w:val="00E77384"/>
    <w:rsid w:val="00E90534"/>
    <w:rsid w:val="00E909CD"/>
    <w:rsid w:val="00E94BB3"/>
    <w:rsid w:val="00E95F49"/>
    <w:rsid w:val="00E96102"/>
    <w:rsid w:val="00EA1EC3"/>
    <w:rsid w:val="00EA2409"/>
    <w:rsid w:val="00EA2AE3"/>
    <w:rsid w:val="00EA3003"/>
    <w:rsid w:val="00EA395F"/>
    <w:rsid w:val="00EA5E69"/>
    <w:rsid w:val="00EB00E1"/>
    <w:rsid w:val="00EB05BD"/>
    <w:rsid w:val="00EB371F"/>
    <w:rsid w:val="00EB3D26"/>
    <w:rsid w:val="00EB4692"/>
    <w:rsid w:val="00EB6536"/>
    <w:rsid w:val="00EB7389"/>
    <w:rsid w:val="00EC1339"/>
    <w:rsid w:val="00EC272B"/>
    <w:rsid w:val="00EC2F58"/>
    <w:rsid w:val="00EC6ECA"/>
    <w:rsid w:val="00EC7BE1"/>
    <w:rsid w:val="00ED41D5"/>
    <w:rsid w:val="00ED646D"/>
    <w:rsid w:val="00ED6D63"/>
    <w:rsid w:val="00ED6EC7"/>
    <w:rsid w:val="00ED799C"/>
    <w:rsid w:val="00EE392D"/>
    <w:rsid w:val="00EE708D"/>
    <w:rsid w:val="00EF0860"/>
    <w:rsid w:val="00EF25D4"/>
    <w:rsid w:val="00EF413A"/>
    <w:rsid w:val="00EF563E"/>
    <w:rsid w:val="00EF6217"/>
    <w:rsid w:val="00F0332F"/>
    <w:rsid w:val="00F11741"/>
    <w:rsid w:val="00F129E7"/>
    <w:rsid w:val="00F14181"/>
    <w:rsid w:val="00F14FA3"/>
    <w:rsid w:val="00F177E6"/>
    <w:rsid w:val="00F17FA6"/>
    <w:rsid w:val="00F20169"/>
    <w:rsid w:val="00F21074"/>
    <w:rsid w:val="00F213BE"/>
    <w:rsid w:val="00F22FC5"/>
    <w:rsid w:val="00F24361"/>
    <w:rsid w:val="00F30D9D"/>
    <w:rsid w:val="00F310C0"/>
    <w:rsid w:val="00F3244E"/>
    <w:rsid w:val="00F41D18"/>
    <w:rsid w:val="00F424B4"/>
    <w:rsid w:val="00F445C7"/>
    <w:rsid w:val="00F472F9"/>
    <w:rsid w:val="00F505B8"/>
    <w:rsid w:val="00F530B1"/>
    <w:rsid w:val="00F566D8"/>
    <w:rsid w:val="00F56CD1"/>
    <w:rsid w:val="00F61628"/>
    <w:rsid w:val="00F67CA0"/>
    <w:rsid w:val="00F7265B"/>
    <w:rsid w:val="00F75D27"/>
    <w:rsid w:val="00F763A6"/>
    <w:rsid w:val="00F765EE"/>
    <w:rsid w:val="00F76821"/>
    <w:rsid w:val="00F769E3"/>
    <w:rsid w:val="00F80184"/>
    <w:rsid w:val="00F8111D"/>
    <w:rsid w:val="00F86652"/>
    <w:rsid w:val="00F90AD7"/>
    <w:rsid w:val="00F92EF4"/>
    <w:rsid w:val="00F93F60"/>
    <w:rsid w:val="00F9490E"/>
    <w:rsid w:val="00F96D90"/>
    <w:rsid w:val="00F96F5F"/>
    <w:rsid w:val="00FA1663"/>
    <w:rsid w:val="00FA3012"/>
    <w:rsid w:val="00FA3EAB"/>
    <w:rsid w:val="00FA47F3"/>
    <w:rsid w:val="00FA569B"/>
    <w:rsid w:val="00FB07BC"/>
    <w:rsid w:val="00FB276A"/>
    <w:rsid w:val="00FB3D2A"/>
    <w:rsid w:val="00FB42DA"/>
    <w:rsid w:val="00FC1D5B"/>
    <w:rsid w:val="00FC287D"/>
    <w:rsid w:val="00FC3F7A"/>
    <w:rsid w:val="00FC624B"/>
    <w:rsid w:val="00FC635B"/>
    <w:rsid w:val="00FC6A8A"/>
    <w:rsid w:val="00FC7BFD"/>
    <w:rsid w:val="00FD037F"/>
    <w:rsid w:val="00FD0F58"/>
    <w:rsid w:val="00FD3928"/>
    <w:rsid w:val="00FD3E69"/>
    <w:rsid w:val="00FD3F44"/>
    <w:rsid w:val="00FD4014"/>
    <w:rsid w:val="00FD46F7"/>
    <w:rsid w:val="00FD5B48"/>
    <w:rsid w:val="00FD61F8"/>
    <w:rsid w:val="00FE4A1A"/>
    <w:rsid w:val="00FE4EA1"/>
    <w:rsid w:val="00FE7432"/>
    <w:rsid w:val="00FF12A4"/>
    <w:rsid w:val="00FF2DC7"/>
    <w:rsid w:val="00FF2F95"/>
    <w:rsid w:val="00FF4343"/>
    <w:rsid w:val="00FF7121"/>
    <w:rsid w:val="323413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D5F8C"/>
  <w15:chartTrackingRefBased/>
  <w15:docId w15:val="{D1513647-07FB-440B-A796-8243EC30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E8"/>
    <w:rPr>
      <w:rFonts w:ascii="Arial" w:hAnsi="Arial"/>
    </w:rPr>
  </w:style>
  <w:style w:type="paragraph" w:styleId="Heading1">
    <w:name w:val="heading 1"/>
    <w:basedOn w:val="Normal"/>
    <w:next w:val="Normal"/>
    <w:link w:val="Heading1Char"/>
    <w:uiPriority w:val="9"/>
    <w:qFormat/>
    <w:rsid w:val="009E59D9"/>
    <w:pPr>
      <w:keepNext/>
      <w:keepLines/>
      <w:numPr>
        <w:numId w:val="2"/>
      </w:numPr>
      <w:spacing w:before="240" w:after="120"/>
      <w:outlineLvl w:val="0"/>
    </w:pPr>
    <w:rPr>
      <w:rFonts w:eastAsiaTheme="majorEastAsia" w:cs="Arial"/>
      <w:color w:val="196BAC"/>
      <w:sz w:val="40"/>
      <w:szCs w:val="40"/>
    </w:rPr>
  </w:style>
  <w:style w:type="paragraph" w:styleId="Heading2">
    <w:name w:val="heading 2"/>
    <w:basedOn w:val="Heading1"/>
    <w:next w:val="Normal"/>
    <w:link w:val="Heading2Char"/>
    <w:uiPriority w:val="9"/>
    <w:unhideWhenUsed/>
    <w:qFormat/>
    <w:rsid w:val="00A376F6"/>
    <w:pPr>
      <w:numPr>
        <w:ilvl w:val="1"/>
      </w:numPr>
      <w:outlineLvl w:val="1"/>
    </w:pPr>
    <w:rPr>
      <w:b/>
      <w:bCs/>
      <w:color w:val="auto"/>
      <w:sz w:val="28"/>
      <w:szCs w:val="28"/>
    </w:rPr>
  </w:style>
  <w:style w:type="paragraph" w:styleId="Heading3">
    <w:name w:val="heading 3"/>
    <w:basedOn w:val="Heading2"/>
    <w:next w:val="Normal"/>
    <w:link w:val="Heading3Char"/>
    <w:uiPriority w:val="9"/>
    <w:unhideWhenUsed/>
    <w:qFormat/>
    <w:rsid w:val="00C2075D"/>
    <w:pPr>
      <w:numPr>
        <w:ilvl w:val="2"/>
      </w:numPr>
      <w:outlineLvl w:val="2"/>
    </w:pPr>
    <w:rPr>
      <w:sz w:val="24"/>
      <w:szCs w:val="24"/>
    </w:rPr>
  </w:style>
  <w:style w:type="paragraph" w:styleId="Heading4">
    <w:name w:val="heading 4"/>
    <w:next w:val="Normal"/>
    <w:link w:val="Heading4Char"/>
    <w:uiPriority w:val="9"/>
    <w:unhideWhenUsed/>
    <w:qFormat/>
    <w:rsid w:val="008C0FB8"/>
    <w:pPr>
      <w:keepNext/>
      <w:keepLines/>
      <w:spacing w:before="240" w:after="120"/>
      <w:outlineLvl w:val="3"/>
    </w:pPr>
    <w:rPr>
      <w:rFonts w:ascii="Arial" w:eastAsiaTheme="majorEastAsia" w:hAnsi="Arial" w:cstheme="majorBidi"/>
      <w:b/>
      <w:iCs/>
      <w:sz w:val="28"/>
    </w:rPr>
  </w:style>
  <w:style w:type="paragraph" w:styleId="Heading5">
    <w:name w:val="heading 5"/>
    <w:basedOn w:val="Normal"/>
    <w:next w:val="Normal"/>
    <w:link w:val="Heading5Char"/>
    <w:uiPriority w:val="9"/>
    <w:unhideWhenUsed/>
    <w:rsid w:val="000A76A3"/>
    <w:pPr>
      <w:keepNext/>
      <w:keepLines/>
      <w:spacing w:before="240" w:line="288" w:lineRule="auto"/>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0A535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A535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A535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535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590"/>
  </w:style>
  <w:style w:type="paragraph" w:styleId="Footer">
    <w:name w:val="footer"/>
    <w:basedOn w:val="Normal"/>
    <w:link w:val="FooterChar"/>
    <w:uiPriority w:val="99"/>
    <w:unhideWhenUsed/>
    <w:rsid w:val="003C2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590"/>
  </w:style>
  <w:style w:type="paragraph" w:customStyle="1" w:styleId="Meetingminutesheader">
    <w:name w:val="Meeting minutes header"/>
    <w:basedOn w:val="Normal"/>
    <w:link w:val="MeetingminutesheaderChar"/>
    <w:qFormat/>
    <w:rsid w:val="003C2590"/>
    <w:pPr>
      <w:outlineLvl w:val="0"/>
    </w:pPr>
    <w:rPr>
      <w:rFonts w:cs="Arial"/>
      <w:color w:val="196BAC"/>
      <w:sz w:val="40"/>
      <w:szCs w:val="40"/>
    </w:rPr>
  </w:style>
  <w:style w:type="character" w:customStyle="1" w:styleId="MeetingminutesheaderChar">
    <w:name w:val="Meeting minutes header Char"/>
    <w:basedOn w:val="DefaultParagraphFont"/>
    <w:link w:val="Meetingminutesheader"/>
    <w:rsid w:val="003C2590"/>
    <w:rPr>
      <w:rFonts w:ascii="Arial" w:hAnsi="Arial" w:cs="Arial"/>
      <w:color w:val="196BAC"/>
      <w:sz w:val="40"/>
      <w:szCs w:val="40"/>
    </w:rPr>
  </w:style>
  <w:style w:type="table" w:styleId="TableGrid">
    <w:name w:val="Table Grid"/>
    <w:basedOn w:val="TableNormal"/>
    <w:uiPriority w:val="39"/>
    <w:rsid w:val="003C2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link w:val="Heading21Char"/>
    <w:qFormat/>
    <w:rsid w:val="003C2590"/>
    <w:rPr>
      <w:rFonts w:cs="Arial"/>
      <w:b/>
      <w:szCs w:val="20"/>
    </w:rPr>
  </w:style>
  <w:style w:type="character" w:customStyle="1" w:styleId="Heading21Char">
    <w:name w:val="Heading 2.1 Char"/>
    <w:basedOn w:val="DefaultParagraphFont"/>
    <w:link w:val="Heading21"/>
    <w:rsid w:val="003C2590"/>
    <w:rPr>
      <w:rFonts w:ascii="Arial" w:hAnsi="Arial" w:cs="Arial"/>
      <w:b/>
      <w:szCs w:val="20"/>
    </w:rPr>
  </w:style>
  <w:style w:type="character" w:styleId="Hyperlink">
    <w:name w:val="Hyperlink"/>
    <w:basedOn w:val="DefaultParagraphFont"/>
    <w:uiPriority w:val="99"/>
    <w:unhideWhenUsed/>
    <w:rsid w:val="004005A3"/>
    <w:rPr>
      <w:color w:val="0563C1" w:themeColor="hyperlink"/>
      <w:u w:val="single"/>
    </w:rPr>
  </w:style>
  <w:style w:type="character" w:styleId="CommentReference">
    <w:name w:val="annotation reference"/>
    <w:basedOn w:val="DefaultParagraphFont"/>
    <w:uiPriority w:val="99"/>
    <w:semiHidden/>
    <w:unhideWhenUsed/>
    <w:rsid w:val="00667694"/>
    <w:rPr>
      <w:sz w:val="16"/>
      <w:szCs w:val="16"/>
    </w:rPr>
  </w:style>
  <w:style w:type="paragraph" w:styleId="CommentText">
    <w:name w:val="annotation text"/>
    <w:basedOn w:val="Normal"/>
    <w:link w:val="CommentTextChar"/>
    <w:uiPriority w:val="99"/>
    <w:unhideWhenUsed/>
    <w:rsid w:val="00667694"/>
    <w:pPr>
      <w:spacing w:line="240" w:lineRule="auto"/>
    </w:pPr>
    <w:rPr>
      <w:sz w:val="20"/>
      <w:szCs w:val="20"/>
    </w:rPr>
  </w:style>
  <w:style w:type="character" w:customStyle="1" w:styleId="CommentTextChar">
    <w:name w:val="Comment Text Char"/>
    <w:basedOn w:val="DefaultParagraphFont"/>
    <w:link w:val="CommentText"/>
    <w:uiPriority w:val="99"/>
    <w:rsid w:val="00667694"/>
    <w:rPr>
      <w:sz w:val="20"/>
      <w:szCs w:val="20"/>
    </w:rPr>
  </w:style>
  <w:style w:type="paragraph" w:styleId="CommentSubject">
    <w:name w:val="annotation subject"/>
    <w:basedOn w:val="CommentText"/>
    <w:next w:val="CommentText"/>
    <w:link w:val="CommentSubjectChar"/>
    <w:uiPriority w:val="99"/>
    <w:semiHidden/>
    <w:unhideWhenUsed/>
    <w:rsid w:val="00667694"/>
    <w:rPr>
      <w:b/>
      <w:bCs/>
    </w:rPr>
  </w:style>
  <w:style w:type="character" w:customStyle="1" w:styleId="CommentSubjectChar">
    <w:name w:val="Comment Subject Char"/>
    <w:basedOn w:val="CommentTextChar"/>
    <w:link w:val="CommentSubject"/>
    <w:uiPriority w:val="99"/>
    <w:semiHidden/>
    <w:rsid w:val="00667694"/>
    <w:rPr>
      <w:b/>
      <w:bCs/>
      <w:sz w:val="20"/>
      <w:szCs w:val="20"/>
    </w:rPr>
  </w:style>
  <w:style w:type="paragraph" w:customStyle="1" w:styleId="Tableheading">
    <w:name w:val="Table heading"/>
    <w:basedOn w:val="Normal"/>
    <w:qFormat/>
    <w:rsid w:val="001A3F27"/>
    <w:rPr>
      <w:rFonts w:cs="Arial"/>
      <w:b/>
      <w:color w:val="FFFFFF" w:themeColor="background1"/>
      <w:szCs w:val="20"/>
    </w:rPr>
  </w:style>
  <w:style w:type="paragraph" w:styleId="ListParagraph">
    <w:name w:val="List Paragraph"/>
    <w:basedOn w:val="Normal"/>
    <w:link w:val="ListParagraphChar"/>
    <w:uiPriority w:val="34"/>
    <w:qFormat/>
    <w:rsid w:val="006C7CAF"/>
    <w:pPr>
      <w:numPr>
        <w:numId w:val="3"/>
      </w:numPr>
      <w:tabs>
        <w:tab w:val="left" w:pos="-3060"/>
        <w:tab w:val="left" w:pos="-2340"/>
        <w:tab w:val="left" w:pos="6300"/>
      </w:tabs>
      <w:suppressAutoHyphens/>
      <w:spacing w:after="120" w:line="288" w:lineRule="auto"/>
      <w:contextualSpacing/>
      <w:jc w:val="both"/>
    </w:pPr>
  </w:style>
  <w:style w:type="paragraph" w:styleId="Revision">
    <w:name w:val="Revision"/>
    <w:hidden/>
    <w:uiPriority w:val="99"/>
    <w:semiHidden/>
    <w:rsid w:val="00923B8D"/>
    <w:pPr>
      <w:spacing w:after="0" w:line="240" w:lineRule="auto"/>
    </w:pPr>
  </w:style>
  <w:style w:type="paragraph" w:styleId="BodyText">
    <w:name w:val="Body Text"/>
    <w:basedOn w:val="Normal"/>
    <w:link w:val="BodyTextChar"/>
    <w:uiPriority w:val="1"/>
    <w:qFormat/>
    <w:rsid w:val="00BF28F6"/>
    <w:pPr>
      <w:widowControl w:val="0"/>
      <w:autoSpaceDE w:val="0"/>
      <w:autoSpaceDN w:val="0"/>
      <w:spacing w:before="120" w:after="0" w:line="240" w:lineRule="auto"/>
    </w:pPr>
    <w:rPr>
      <w:rFonts w:eastAsia="Arial" w:cs="Arial"/>
      <w:sz w:val="21"/>
      <w:szCs w:val="21"/>
      <w:lang w:val="en-US"/>
    </w:rPr>
  </w:style>
  <w:style w:type="character" w:customStyle="1" w:styleId="BodyTextChar">
    <w:name w:val="Body Text Char"/>
    <w:basedOn w:val="DefaultParagraphFont"/>
    <w:link w:val="BodyText"/>
    <w:uiPriority w:val="1"/>
    <w:rsid w:val="00BF28F6"/>
    <w:rPr>
      <w:rFonts w:ascii="Arial" w:eastAsia="Arial" w:hAnsi="Arial" w:cs="Arial"/>
      <w:sz w:val="21"/>
      <w:szCs w:val="21"/>
      <w:lang w:val="en-US"/>
    </w:rPr>
  </w:style>
  <w:style w:type="character" w:customStyle="1" w:styleId="Heading1Char">
    <w:name w:val="Heading 1 Char"/>
    <w:basedOn w:val="DefaultParagraphFont"/>
    <w:link w:val="Heading1"/>
    <w:uiPriority w:val="9"/>
    <w:rsid w:val="009E59D9"/>
    <w:rPr>
      <w:rFonts w:ascii="Arial" w:eastAsiaTheme="majorEastAsia" w:hAnsi="Arial" w:cs="Arial"/>
      <w:color w:val="196BAC"/>
      <w:sz w:val="40"/>
      <w:szCs w:val="40"/>
    </w:rPr>
  </w:style>
  <w:style w:type="paragraph" w:styleId="TOCHeading">
    <w:name w:val="TOC Heading"/>
    <w:basedOn w:val="Heading1"/>
    <w:next w:val="Normal"/>
    <w:uiPriority w:val="39"/>
    <w:unhideWhenUsed/>
    <w:qFormat/>
    <w:rsid w:val="00365A78"/>
    <w:pPr>
      <w:numPr>
        <w:numId w:val="0"/>
      </w:numPr>
      <w:outlineLvl w:val="9"/>
    </w:pPr>
    <w:rPr>
      <w:sz w:val="32"/>
      <w:szCs w:val="32"/>
      <w:lang w:val="en-US"/>
    </w:rPr>
  </w:style>
  <w:style w:type="paragraph" w:styleId="TOC2">
    <w:name w:val="toc 2"/>
    <w:basedOn w:val="Normal"/>
    <w:next w:val="Normal"/>
    <w:autoRedefine/>
    <w:uiPriority w:val="39"/>
    <w:unhideWhenUsed/>
    <w:rsid w:val="00D66572"/>
    <w:pPr>
      <w:tabs>
        <w:tab w:val="left" w:pos="993"/>
        <w:tab w:val="right" w:leader="dot" w:pos="9628"/>
      </w:tabs>
      <w:spacing w:after="100"/>
      <w:ind w:left="426"/>
    </w:pPr>
    <w:rPr>
      <w:rFonts w:eastAsiaTheme="minorEastAsia" w:cs="Times New Roman"/>
      <w:lang w:val="en-US"/>
    </w:rPr>
  </w:style>
  <w:style w:type="paragraph" w:styleId="TOC1">
    <w:name w:val="toc 1"/>
    <w:basedOn w:val="Normal"/>
    <w:next w:val="Normal"/>
    <w:autoRedefine/>
    <w:uiPriority w:val="39"/>
    <w:unhideWhenUsed/>
    <w:rsid w:val="001670B8"/>
    <w:pPr>
      <w:tabs>
        <w:tab w:val="left" w:pos="426"/>
        <w:tab w:val="right" w:leader="dot" w:pos="9628"/>
      </w:tabs>
      <w:spacing w:after="100"/>
    </w:pPr>
    <w:rPr>
      <w:rFonts w:eastAsiaTheme="minorEastAsia" w:cs="Times New Roman"/>
      <w:lang w:val="en-US"/>
    </w:rPr>
  </w:style>
  <w:style w:type="paragraph" w:styleId="TOC3">
    <w:name w:val="toc 3"/>
    <w:basedOn w:val="Normal"/>
    <w:next w:val="Normal"/>
    <w:autoRedefine/>
    <w:uiPriority w:val="39"/>
    <w:unhideWhenUsed/>
    <w:rsid w:val="00D66572"/>
    <w:pPr>
      <w:tabs>
        <w:tab w:val="left" w:pos="993"/>
        <w:tab w:val="left" w:pos="1701"/>
        <w:tab w:val="right" w:leader="dot" w:pos="9628"/>
      </w:tabs>
      <w:spacing w:after="100"/>
      <w:ind w:left="993"/>
    </w:pPr>
    <w:rPr>
      <w:rFonts w:eastAsiaTheme="minorEastAsia" w:cs="Times New Roman"/>
      <w:lang w:val="en-US"/>
    </w:rPr>
  </w:style>
  <w:style w:type="paragraph" w:customStyle="1" w:styleId="TempateHeadingLevel2">
    <w:name w:val="Tempate Heading Level 2"/>
    <w:basedOn w:val="Heading21"/>
    <w:link w:val="TempateHeadingLevel2Char"/>
    <w:qFormat/>
    <w:rsid w:val="00365258"/>
    <w:pPr>
      <w:numPr>
        <w:numId w:val="1"/>
      </w:numPr>
    </w:pPr>
    <w:rPr>
      <w:color w:val="196BAC"/>
      <w:sz w:val="28"/>
      <w:szCs w:val="28"/>
    </w:rPr>
  </w:style>
  <w:style w:type="character" w:customStyle="1" w:styleId="TempateHeadingLevel2Char">
    <w:name w:val="Tempate Heading Level 2 Char"/>
    <w:basedOn w:val="Heading21Char"/>
    <w:link w:val="TempateHeadingLevel2"/>
    <w:rsid w:val="00365258"/>
    <w:rPr>
      <w:rFonts w:ascii="Arial" w:hAnsi="Arial" w:cs="Arial"/>
      <w:b/>
      <w:color w:val="196BAC"/>
      <w:sz w:val="28"/>
      <w:szCs w:val="28"/>
    </w:rPr>
  </w:style>
  <w:style w:type="paragraph" w:customStyle="1" w:styleId="TempateHeadingLevel1">
    <w:name w:val="Tempate Heading Level 1"/>
    <w:basedOn w:val="Meetingminutesheader"/>
    <w:link w:val="TempateHeadingLevel1Char"/>
    <w:qFormat/>
    <w:rsid w:val="00365258"/>
    <w:pPr>
      <w:jc w:val="center"/>
    </w:pPr>
  </w:style>
  <w:style w:type="character" w:customStyle="1" w:styleId="TempateHeadingLevel1Char">
    <w:name w:val="Tempate Heading Level 1 Char"/>
    <w:basedOn w:val="MeetingminutesheaderChar"/>
    <w:link w:val="TempateHeadingLevel1"/>
    <w:rsid w:val="00365258"/>
    <w:rPr>
      <w:rFonts w:ascii="Arial" w:hAnsi="Arial" w:cs="Arial"/>
      <w:color w:val="196BAC"/>
      <w:sz w:val="40"/>
      <w:szCs w:val="40"/>
    </w:rPr>
  </w:style>
  <w:style w:type="character" w:customStyle="1" w:styleId="Heading2Char">
    <w:name w:val="Heading 2 Char"/>
    <w:basedOn w:val="DefaultParagraphFont"/>
    <w:link w:val="Heading2"/>
    <w:uiPriority w:val="9"/>
    <w:rsid w:val="00A376F6"/>
    <w:rPr>
      <w:rFonts w:ascii="Arial" w:eastAsiaTheme="majorEastAsia" w:hAnsi="Arial" w:cs="Arial"/>
      <w:b/>
      <w:bCs/>
      <w:sz w:val="28"/>
      <w:szCs w:val="28"/>
    </w:rPr>
  </w:style>
  <w:style w:type="character" w:customStyle="1" w:styleId="Heading3Char">
    <w:name w:val="Heading 3 Char"/>
    <w:basedOn w:val="DefaultParagraphFont"/>
    <w:link w:val="Heading3"/>
    <w:uiPriority w:val="9"/>
    <w:rsid w:val="00C2075D"/>
    <w:rPr>
      <w:rFonts w:ascii="Arial" w:eastAsiaTheme="majorEastAsia" w:hAnsi="Arial" w:cs="Arial"/>
      <w:b/>
      <w:bCs/>
      <w:sz w:val="24"/>
      <w:szCs w:val="24"/>
    </w:rPr>
  </w:style>
  <w:style w:type="character" w:customStyle="1" w:styleId="Heading5Char">
    <w:name w:val="Heading 5 Char"/>
    <w:basedOn w:val="DefaultParagraphFont"/>
    <w:link w:val="Heading5"/>
    <w:uiPriority w:val="9"/>
    <w:rsid w:val="000A76A3"/>
    <w:rPr>
      <w:rFonts w:ascii="Arial" w:eastAsiaTheme="majorEastAsia" w:hAnsi="Arial" w:cstheme="majorBidi"/>
      <w:b/>
    </w:rPr>
  </w:style>
  <w:style w:type="paragraph" w:customStyle="1" w:styleId="Introduction">
    <w:name w:val="Introduction"/>
    <w:basedOn w:val="Normal"/>
    <w:link w:val="IntroductionChar"/>
    <w:qFormat/>
    <w:rsid w:val="00047A8E"/>
    <w:pPr>
      <w:spacing w:after="120" w:line="288" w:lineRule="auto"/>
    </w:pPr>
    <w:rPr>
      <w:b/>
      <w:bCs/>
    </w:rPr>
  </w:style>
  <w:style w:type="character" w:customStyle="1" w:styleId="IntroductionChar">
    <w:name w:val="Introduction Char"/>
    <w:basedOn w:val="DefaultParagraphFont"/>
    <w:link w:val="Introduction"/>
    <w:rsid w:val="00047A8E"/>
    <w:rPr>
      <w:rFonts w:ascii="Arial" w:hAnsi="Arial"/>
      <w:b/>
      <w:bCs/>
    </w:rPr>
  </w:style>
  <w:style w:type="paragraph" w:styleId="ListBullet">
    <w:name w:val="List Bullet"/>
    <w:uiPriority w:val="99"/>
    <w:unhideWhenUsed/>
    <w:rsid w:val="00567298"/>
    <w:pPr>
      <w:spacing w:after="120" w:line="288" w:lineRule="auto"/>
      <w:contextualSpacing/>
    </w:pPr>
    <w:rPr>
      <w:rFonts w:ascii="Arial" w:hAnsi="Arial"/>
    </w:rPr>
  </w:style>
  <w:style w:type="character" w:customStyle="1" w:styleId="Heading4Char">
    <w:name w:val="Heading 4 Char"/>
    <w:basedOn w:val="DefaultParagraphFont"/>
    <w:link w:val="Heading4"/>
    <w:uiPriority w:val="9"/>
    <w:rsid w:val="008C0FB8"/>
    <w:rPr>
      <w:rFonts w:ascii="Arial" w:eastAsiaTheme="majorEastAsia" w:hAnsi="Arial" w:cstheme="majorBidi"/>
      <w:b/>
      <w:iCs/>
      <w:sz w:val="28"/>
    </w:rPr>
  </w:style>
  <w:style w:type="paragraph" w:customStyle="1" w:styleId="Tablebody">
    <w:name w:val="Table body"/>
    <w:basedOn w:val="Normal"/>
    <w:qFormat/>
    <w:rsid w:val="006500E6"/>
    <w:pPr>
      <w:spacing w:after="0" w:line="288" w:lineRule="auto"/>
    </w:pPr>
    <w:rPr>
      <w:bCs/>
    </w:rPr>
  </w:style>
  <w:style w:type="character" w:customStyle="1" w:styleId="Heading6Char">
    <w:name w:val="Heading 6 Char"/>
    <w:basedOn w:val="DefaultParagraphFont"/>
    <w:link w:val="Heading6"/>
    <w:uiPriority w:val="9"/>
    <w:semiHidden/>
    <w:rsid w:val="000A535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A535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0A535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5353"/>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basedOn w:val="DefaultParagraphFont"/>
    <w:link w:val="ListParagraph"/>
    <w:uiPriority w:val="34"/>
    <w:rsid w:val="006C7CAF"/>
    <w:rPr>
      <w:rFonts w:ascii="Arial" w:hAnsi="Arial"/>
    </w:rPr>
  </w:style>
  <w:style w:type="paragraph" w:styleId="FootnoteText">
    <w:name w:val="footnote text"/>
    <w:basedOn w:val="Normal"/>
    <w:link w:val="FootnoteTextChar"/>
    <w:uiPriority w:val="99"/>
    <w:semiHidden/>
    <w:unhideWhenUsed/>
    <w:rsid w:val="00471B3B"/>
    <w:pPr>
      <w:tabs>
        <w:tab w:val="left" w:pos="-3060"/>
        <w:tab w:val="left" w:pos="-2340"/>
        <w:tab w:val="left" w:pos="6300"/>
      </w:tabs>
      <w:suppressAutoHyphens/>
      <w:spacing w:after="0" w:line="288" w:lineRule="auto"/>
    </w:pPr>
    <w:rPr>
      <w:rFonts w:eastAsia="Times New Roman" w:cs="Arial"/>
      <w:color w:val="000000" w:themeColor="text1"/>
      <w:sz w:val="20"/>
      <w:szCs w:val="20"/>
      <w:lang w:eastAsia="en-AU"/>
    </w:rPr>
  </w:style>
  <w:style w:type="character" w:customStyle="1" w:styleId="FootnoteTextChar">
    <w:name w:val="Footnote Text Char"/>
    <w:basedOn w:val="DefaultParagraphFont"/>
    <w:link w:val="FootnoteText"/>
    <w:uiPriority w:val="99"/>
    <w:semiHidden/>
    <w:rsid w:val="00471B3B"/>
    <w:rPr>
      <w:rFonts w:ascii="Arial" w:eastAsia="Times New Roman" w:hAnsi="Arial" w:cs="Arial"/>
      <w:color w:val="000000" w:themeColor="text1"/>
      <w:sz w:val="20"/>
      <w:szCs w:val="20"/>
      <w:lang w:eastAsia="en-AU"/>
    </w:rPr>
  </w:style>
  <w:style w:type="character" w:styleId="FootnoteReference">
    <w:name w:val="footnote reference"/>
    <w:basedOn w:val="DefaultParagraphFont"/>
    <w:uiPriority w:val="99"/>
    <w:semiHidden/>
    <w:unhideWhenUsed/>
    <w:rsid w:val="00471B3B"/>
    <w:rPr>
      <w:vertAlign w:val="superscript"/>
    </w:rPr>
  </w:style>
  <w:style w:type="character" w:customStyle="1" w:styleId="aranob">
    <w:name w:val="aranob"/>
    <w:basedOn w:val="DefaultParagraphFont"/>
    <w:rsid w:val="00471B3B"/>
  </w:style>
  <w:style w:type="character" w:styleId="Emphasis">
    <w:name w:val="Emphasis"/>
    <w:basedOn w:val="DefaultParagraphFont"/>
    <w:uiPriority w:val="20"/>
    <w:qFormat/>
    <w:rsid w:val="00471B3B"/>
    <w:rPr>
      <w:i/>
      <w:iCs/>
    </w:rPr>
  </w:style>
  <w:style w:type="paragraph" w:customStyle="1" w:styleId="BULLETS">
    <w:name w:val="BULLETS"/>
    <w:basedOn w:val="Normal"/>
    <w:rsid w:val="001E5CB3"/>
    <w:pPr>
      <w:numPr>
        <w:numId w:val="4"/>
      </w:numPr>
      <w:tabs>
        <w:tab w:val="left" w:pos="-3060"/>
        <w:tab w:val="left" w:pos="-2340"/>
        <w:tab w:val="left" w:pos="6300"/>
      </w:tabs>
      <w:suppressAutoHyphens/>
      <w:spacing w:before="40" w:after="80" w:line="288" w:lineRule="auto"/>
    </w:pPr>
    <w:rPr>
      <w:rFonts w:eastAsia="Times New Roman" w:cs="Arial"/>
      <w:color w:val="000000" w:themeColor="text1"/>
      <w:lang w:eastAsia="en-AU"/>
    </w:rPr>
  </w:style>
  <w:style w:type="character" w:customStyle="1" w:styleId="normaltextrun">
    <w:name w:val="normaltextrun"/>
    <w:basedOn w:val="DefaultParagraphFont"/>
    <w:rsid w:val="004D1871"/>
  </w:style>
  <w:style w:type="character" w:customStyle="1" w:styleId="eop">
    <w:name w:val="eop"/>
    <w:basedOn w:val="DefaultParagraphFont"/>
    <w:rsid w:val="00D851BE"/>
  </w:style>
  <w:style w:type="numbering" w:customStyle="1" w:styleId="StyleHeading110ptGray-50">
    <w:name w:val="Style Heading 1 + 10 pt Gray-50%"/>
    <w:basedOn w:val="NoList"/>
    <w:rsid w:val="006B0CBC"/>
    <w:pPr>
      <w:numPr>
        <w:numId w:val="5"/>
      </w:numPr>
    </w:pPr>
  </w:style>
  <w:style w:type="paragraph" w:customStyle="1" w:styleId="Default">
    <w:name w:val="Default"/>
    <w:rsid w:val="00E1595D"/>
    <w:pPr>
      <w:autoSpaceDE w:val="0"/>
      <w:autoSpaceDN w:val="0"/>
      <w:adjustRightInd w:val="0"/>
      <w:spacing w:after="0" w:line="240" w:lineRule="auto"/>
    </w:pPr>
    <w:rPr>
      <w:rFonts w:ascii="Arial" w:hAnsi="Arial" w:cs="Arial"/>
      <w:color w:val="000000"/>
      <w:sz w:val="24"/>
      <w:szCs w:val="24"/>
    </w:rPr>
  </w:style>
  <w:style w:type="paragraph" w:customStyle="1" w:styleId="NormalBullets">
    <w:name w:val="Normal Bullets"/>
    <w:basedOn w:val="Normal"/>
    <w:link w:val="NormalBulletsChar"/>
    <w:qFormat/>
    <w:rsid w:val="001D51DF"/>
    <w:pPr>
      <w:numPr>
        <w:numId w:val="12"/>
      </w:numPr>
      <w:tabs>
        <w:tab w:val="right" w:pos="8931"/>
      </w:tabs>
      <w:spacing w:after="120" w:line="288" w:lineRule="auto"/>
    </w:pPr>
    <w:rPr>
      <w:rFonts w:eastAsia="Calibri" w:cs="Arial"/>
    </w:rPr>
  </w:style>
  <w:style w:type="character" w:customStyle="1" w:styleId="NormalBulletsChar">
    <w:name w:val="Normal Bullets Char"/>
    <w:basedOn w:val="DefaultParagraphFont"/>
    <w:link w:val="NormalBullets"/>
    <w:rsid w:val="001D51DF"/>
    <w:rPr>
      <w:rFonts w:ascii="Arial" w:eastAsia="Calibri" w:hAnsi="Arial" w:cs="Arial"/>
    </w:rPr>
  </w:style>
  <w:style w:type="paragraph" w:styleId="Caption">
    <w:name w:val="caption"/>
    <w:basedOn w:val="Normal"/>
    <w:next w:val="Normal"/>
    <w:uiPriority w:val="35"/>
    <w:unhideWhenUsed/>
    <w:qFormat/>
    <w:rsid w:val="00E625AC"/>
    <w:pPr>
      <w:tabs>
        <w:tab w:val="left" w:pos="-3060"/>
        <w:tab w:val="left" w:pos="-2340"/>
        <w:tab w:val="left" w:pos="6300"/>
      </w:tabs>
      <w:suppressAutoHyphens/>
      <w:spacing w:after="200" w:line="240" w:lineRule="auto"/>
    </w:pPr>
    <w:rPr>
      <w:rFonts w:eastAsia="Times New Roman" w:cs="Arial"/>
      <w:i/>
      <w:iCs/>
      <w:color w:val="44546A" w:themeColor="text2"/>
      <w:sz w:val="18"/>
      <w:szCs w:val="18"/>
      <w:lang w:eastAsia="en-AU"/>
    </w:rPr>
  </w:style>
  <w:style w:type="paragraph" w:customStyle="1" w:styleId="Governancedetail">
    <w:name w:val="Governance detail"/>
    <w:basedOn w:val="Normal"/>
    <w:link w:val="GovernancedetailChar"/>
    <w:qFormat/>
    <w:rsid w:val="0097787F"/>
    <w:pPr>
      <w:pBdr>
        <w:top w:val="single" w:sz="4" w:space="1" w:color="auto"/>
      </w:pBdr>
      <w:tabs>
        <w:tab w:val="left" w:pos="-3060"/>
        <w:tab w:val="left" w:pos="-2340"/>
        <w:tab w:val="left" w:pos="6300"/>
      </w:tabs>
      <w:suppressAutoHyphens/>
      <w:spacing w:before="120" w:after="60" w:line="288" w:lineRule="auto"/>
      <w:ind w:right="4820"/>
    </w:pPr>
    <w:rPr>
      <w:rFonts w:eastAsia="Times New Roman" w:cs="Arial"/>
      <w:color w:val="000000" w:themeColor="text1"/>
      <w:sz w:val="28"/>
      <w:lang w:eastAsia="en-AU"/>
    </w:rPr>
  </w:style>
  <w:style w:type="character" w:customStyle="1" w:styleId="GovernancedetailChar">
    <w:name w:val="Governance detail Char"/>
    <w:basedOn w:val="Heading4Char"/>
    <w:link w:val="Governancedetail"/>
    <w:rsid w:val="0097787F"/>
    <w:rPr>
      <w:rFonts w:ascii="Arial" w:eastAsia="Times New Roman" w:hAnsi="Arial" w:cs="Arial"/>
      <w:b w:val="0"/>
      <w:iCs w:val="0"/>
      <w:color w:val="000000" w:themeColor="text1"/>
      <w:sz w:val="28"/>
      <w:lang w:eastAsia="en-AU"/>
    </w:rPr>
  </w:style>
  <w:style w:type="table" w:styleId="ListTable2-Accent5">
    <w:name w:val="List Table 2 Accent 5"/>
    <w:basedOn w:val="TableNormal"/>
    <w:uiPriority w:val="47"/>
    <w:rsid w:val="0097787F"/>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ortphillip.vic.gov.au/council-services/rates-and-valuations/rates-concessions-and-hardship-relie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portphillip.vic.gov.au/media_releases.htm" TargetMode="External"/><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6a1c71-5322-46bd-b39c-263804558356">
      <Terms xmlns="http://schemas.microsoft.com/office/infopath/2007/PartnerControls"/>
    </lcf76f155ced4ddcb4097134ff3c332f>
    <TaxCatchAll xmlns="1671c4bc-95f5-43af-9d34-f5d99d21e7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07708AE159BD47995A8F374C9C5538" ma:contentTypeVersion="18" ma:contentTypeDescription="Create a new document." ma:contentTypeScope="" ma:versionID="d0e09fc5dea35f91af6c0d68794f4130">
  <xsd:schema xmlns:xsd="http://www.w3.org/2001/XMLSchema" xmlns:xs="http://www.w3.org/2001/XMLSchema" xmlns:p="http://schemas.microsoft.com/office/2006/metadata/properties" xmlns:ns2="b26a1c71-5322-46bd-b39c-263804558356" xmlns:ns3="1671c4bc-95f5-43af-9d34-f5d99d21e704" targetNamespace="http://schemas.microsoft.com/office/2006/metadata/properties" ma:root="true" ma:fieldsID="63413bce32f9afdd5714c9af49adfdb3" ns2:_="" ns3:_="">
    <xsd:import namespace="b26a1c71-5322-46bd-b39c-263804558356"/>
    <xsd:import namespace="1671c4bc-95f5-43af-9d34-f5d99d21e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a1c71-5322-46bd-b39c-263804558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71c4bc-95f5-43af-9d34-f5d99d21e70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2abe91-a5fb-441b-80c4-a34376fb869e}" ma:internalName="TaxCatchAll" ma:showField="CatchAllData" ma:web="1671c4bc-95f5-43af-9d34-f5d99d21e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C1D20-0468-4C5D-B52E-3951258C4627}">
  <ds:schemaRefs>
    <ds:schemaRef ds:uri="http://schemas.microsoft.com/sharepoint/v3/contenttype/forms"/>
  </ds:schemaRefs>
</ds:datastoreItem>
</file>

<file path=customXml/itemProps2.xml><?xml version="1.0" encoding="utf-8"?>
<ds:datastoreItem xmlns:ds="http://schemas.openxmlformats.org/officeDocument/2006/customXml" ds:itemID="{B2F9CEAC-C505-4403-8A8B-D1CE49CA395E}">
  <ds:schemaRefs>
    <ds:schemaRef ds:uri="http://schemas.microsoft.com/office/2006/metadata/properties"/>
    <ds:schemaRef ds:uri="http://schemas.microsoft.com/office/infopath/2007/PartnerControls"/>
    <ds:schemaRef ds:uri="b26a1c71-5322-46bd-b39c-263804558356"/>
    <ds:schemaRef ds:uri="1671c4bc-95f5-43af-9d34-f5d99d21e704"/>
  </ds:schemaRefs>
</ds:datastoreItem>
</file>

<file path=customXml/itemProps3.xml><?xml version="1.0" encoding="utf-8"?>
<ds:datastoreItem xmlns:ds="http://schemas.openxmlformats.org/officeDocument/2006/customXml" ds:itemID="{C77BC11A-8728-4DB9-8E84-25C3F9E9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a1c71-5322-46bd-b39c-263804558356"/>
    <ds:schemaRef ds:uri="1671c4bc-95f5-43af-9d34-f5d99d21e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C6264-16A4-4BA5-84A5-B2E7A333A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3211</Words>
  <Characters>18306</Characters>
  <Application>Microsoft Office Word</Application>
  <DocSecurity>0</DocSecurity>
  <Lines>152</Lines>
  <Paragraphs>42</Paragraphs>
  <ScaleCrop>false</ScaleCrop>
  <Company>City of Port Phillip</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Foo</dc:creator>
  <cp:keywords/>
  <dc:description/>
  <cp:lastModifiedBy>Ben Sylvan</cp:lastModifiedBy>
  <cp:revision>7</cp:revision>
  <dcterms:created xsi:type="dcterms:W3CDTF">2025-10-06T23:29:00Z</dcterms:created>
  <dcterms:modified xsi:type="dcterms:W3CDTF">2025-11-21T00:44:00Z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0x0101004E07708AE159BD47995A8F374C9C5538</vt:lpwstr>
  </property>
  <property fmtid="{D5CDD505-2E9C-101B-9397-08002B2CF9AE}" pid="4" name="docLang">
    <vt:lpwstr>en</vt:lpwstr>
  </property>
</Properties>
</file>